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28" w:rsidRPr="00BD473E" w:rsidRDefault="00FB69BA" w:rsidP="00826F1C">
      <w:pPr>
        <w:pStyle w:val="Kop2"/>
        <w:rPr>
          <w:rFonts w:ascii="Calibri" w:hAnsi="Calibri" w:cs="Calibri"/>
          <w:b/>
        </w:rPr>
      </w:pPr>
      <w:bookmarkStart w:id="0" w:name="_GoBack"/>
      <w:bookmarkEnd w:id="0"/>
      <w:r w:rsidRPr="00BD473E">
        <w:rPr>
          <w:rFonts w:ascii="Calibri" w:hAnsi="Calibri" w:cs="Calibri"/>
          <w:b/>
        </w:rPr>
        <w:t xml:space="preserve">A. </w:t>
      </w:r>
      <w:r w:rsidR="00933228" w:rsidRPr="00BD473E">
        <w:rPr>
          <w:rFonts w:ascii="Calibri" w:hAnsi="Calibri" w:cs="Calibri"/>
          <w:b/>
        </w:rPr>
        <w:t>Inleidend:</w:t>
      </w:r>
    </w:p>
    <w:p w:rsidR="00BD473E" w:rsidRDefault="00E25D1F" w:rsidP="00BD473E">
      <w:pPr>
        <w:spacing w:after="0"/>
        <w:rPr>
          <w:color w:val="2F5496" w:themeColor="accent1" w:themeShade="BF"/>
        </w:rPr>
      </w:pPr>
      <w:r>
        <w:rPr>
          <w:b/>
        </w:rPr>
        <w:t>Doelstelling:</w:t>
      </w:r>
      <w:r>
        <w:rPr>
          <w:b/>
        </w:rPr>
        <w:br/>
      </w:r>
      <w:r>
        <w:t xml:space="preserve">Analyse/ reflectiedocument </w:t>
      </w:r>
      <w:r w:rsidR="0055058B">
        <w:t>om in te zetten</w:t>
      </w:r>
      <w:r>
        <w:t xml:space="preserve"> in het traject richting het nieuwe SOP én schoolplan. </w:t>
      </w:r>
      <w:r w:rsidR="0055058B">
        <w:t>Iedere Berséba School gebruikt dit SWOT document</w:t>
      </w:r>
      <w:r w:rsidR="00AC4ED0">
        <w:t xml:space="preserve"> op een nader te bepalen moment</w:t>
      </w:r>
      <w:r w:rsidR="0055058B">
        <w:t xml:space="preserve">. </w:t>
      </w:r>
      <w:r>
        <w:br/>
      </w:r>
      <w:r w:rsidR="0055058B">
        <w:br/>
      </w:r>
      <w:r w:rsidR="0055058B" w:rsidRPr="00BD473E">
        <w:rPr>
          <w:color w:val="2F5496" w:themeColor="accent1" w:themeShade="BF"/>
        </w:rPr>
        <w:t xml:space="preserve">Stap </w:t>
      </w:r>
      <w:r w:rsidRPr="00BD473E">
        <w:rPr>
          <w:color w:val="2F5496" w:themeColor="accent1" w:themeShade="BF"/>
        </w:rPr>
        <w:t xml:space="preserve">1. </w:t>
      </w:r>
    </w:p>
    <w:p w:rsidR="00BD473E" w:rsidRDefault="00BD473E" w:rsidP="00BD473E">
      <w:pPr>
        <w:spacing w:after="0"/>
      </w:pPr>
      <w:r>
        <w:t>Het d</w:t>
      </w:r>
      <w:r w:rsidR="0055058B">
        <w:t>ocument is in</w:t>
      </w:r>
      <w:r w:rsidR="00E25D1F">
        <w:t xml:space="preserve"> eerste instantie bedoeld voor IB en MT. Kan daarna in het team besproken worden.</w:t>
      </w:r>
      <w:r w:rsidR="00E25D1F">
        <w:br/>
      </w:r>
    </w:p>
    <w:p w:rsidR="00BD473E" w:rsidRPr="00BD473E" w:rsidRDefault="0055058B" w:rsidP="00BD473E">
      <w:pPr>
        <w:spacing w:after="0"/>
        <w:rPr>
          <w:color w:val="2F5496" w:themeColor="accent1" w:themeShade="BF"/>
        </w:rPr>
      </w:pPr>
      <w:r w:rsidRPr="00BD473E">
        <w:rPr>
          <w:color w:val="2F5496" w:themeColor="accent1" w:themeShade="BF"/>
        </w:rPr>
        <w:t xml:space="preserve">Stap </w:t>
      </w:r>
      <w:r w:rsidR="00E25D1F" w:rsidRPr="00BD473E">
        <w:rPr>
          <w:color w:val="2F5496" w:themeColor="accent1" w:themeShade="BF"/>
        </w:rPr>
        <w:t xml:space="preserve">2. </w:t>
      </w:r>
    </w:p>
    <w:p w:rsidR="00BD473E" w:rsidRDefault="00BD473E" w:rsidP="00BD473E">
      <w:pPr>
        <w:pStyle w:val="Lijstalinea"/>
        <w:numPr>
          <w:ilvl w:val="0"/>
          <w:numId w:val="5"/>
        </w:numPr>
        <w:spacing w:after="0"/>
        <w:ind w:left="284" w:hanging="284"/>
      </w:pPr>
      <w:r>
        <w:t>of met behulp van de externe in het teamgesprek waarbij schoolanalyse op basis van dit SWOT document centraal staat</w:t>
      </w:r>
    </w:p>
    <w:p w:rsidR="00BD473E" w:rsidRDefault="00BD473E" w:rsidP="00BD473E">
      <w:pPr>
        <w:pStyle w:val="Lijstalinea"/>
        <w:numPr>
          <w:ilvl w:val="0"/>
          <w:numId w:val="5"/>
        </w:numPr>
        <w:spacing w:after="0"/>
        <w:ind w:left="284" w:hanging="284"/>
      </w:pPr>
      <w:r>
        <w:t>of zonder hulp van een externe in een teamgesprek met gebruik making van de schoolanalyse op basis van dit SWOT document.</w:t>
      </w:r>
      <w:r w:rsidR="00E25D1F">
        <w:br/>
      </w:r>
    </w:p>
    <w:p w:rsidR="00BD473E" w:rsidRPr="00BD473E" w:rsidRDefault="0055058B" w:rsidP="00BD473E">
      <w:pPr>
        <w:spacing w:after="0"/>
        <w:rPr>
          <w:color w:val="2F5496" w:themeColor="accent1" w:themeShade="BF"/>
        </w:rPr>
      </w:pPr>
      <w:r w:rsidRPr="00BD473E">
        <w:rPr>
          <w:color w:val="2F5496" w:themeColor="accent1" w:themeShade="BF"/>
        </w:rPr>
        <w:t xml:space="preserve">Stap </w:t>
      </w:r>
      <w:r w:rsidR="00081C45" w:rsidRPr="00BD473E">
        <w:rPr>
          <w:color w:val="2F5496" w:themeColor="accent1" w:themeShade="BF"/>
        </w:rPr>
        <w:t xml:space="preserve">3. </w:t>
      </w:r>
    </w:p>
    <w:p w:rsidR="00E25D1F" w:rsidRPr="00E25D1F" w:rsidRDefault="00081C45" w:rsidP="00BD473E">
      <w:pPr>
        <w:spacing w:after="0"/>
      </w:pPr>
      <w:r>
        <w:t xml:space="preserve">Binnen het nieuwe SOP kan de school zijn ontwikkelpunten op basis van de SWOT en het teamgesprek een plek geven. </w:t>
      </w:r>
    </w:p>
    <w:p w:rsidR="00B106D7" w:rsidRPr="00081C45" w:rsidRDefault="00AC4ED0" w:rsidP="00BD473E">
      <w:pPr>
        <w:spacing w:after="0"/>
        <w:rPr>
          <w:i/>
        </w:rPr>
      </w:pPr>
      <w:r w:rsidRPr="00AC4ED0">
        <w:rPr>
          <w:i/>
        </w:rPr>
        <w:t xml:space="preserve">Iedere regio bekijkt op welk moment </w:t>
      </w:r>
      <w:r>
        <w:rPr>
          <w:i/>
        </w:rPr>
        <w:t xml:space="preserve">(in het proces richting het nieuwe SOP), het logisch is om </w:t>
      </w:r>
      <w:r w:rsidRPr="00AC4ED0">
        <w:rPr>
          <w:i/>
        </w:rPr>
        <w:t>deze SWOT</w:t>
      </w:r>
      <w:r>
        <w:rPr>
          <w:i/>
        </w:rPr>
        <w:t xml:space="preserve"> op de scholen</w:t>
      </w:r>
      <w:r w:rsidRPr="00AC4ED0">
        <w:rPr>
          <w:i/>
        </w:rPr>
        <w:t xml:space="preserve"> in</w:t>
      </w:r>
      <w:r>
        <w:rPr>
          <w:i/>
        </w:rPr>
        <w:t xml:space="preserve"> te </w:t>
      </w:r>
      <w:r w:rsidRPr="00AC4ED0">
        <w:rPr>
          <w:i/>
        </w:rPr>
        <w:t>z</w:t>
      </w:r>
      <w:r>
        <w:rPr>
          <w:i/>
        </w:rPr>
        <w:t xml:space="preserve">etten. </w:t>
      </w:r>
      <w:r>
        <w:rPr>
          <w:i/>
        </w:rPr>
        <w:br/>
      </w:r>
      <w:r w:rsidR="0055058B" w:rsidRPr="00AC4ED0">
        <w:rPr>
          <w:i/>
        </w:rPr>
        <w:t xml:space="preserve">In ieder geval </w:t>
      </w:r>
      <w:r w:rsidR="0055058B">
        <w:rPr>
          <w:i/>
        </w:rPr>
        <w:t>voorafgaand aan het teamgesprek (met eventueel externe ondersteuning). Daarnaast bepaal</w:t>
      </w:r>
      <w:r w:rsidR="00BD473E">
        <w:rPr>
          <w:i/>
        </w:rPr>
        <w:t>t</w:t>
      </w:r>
      <w:r w:rsidR="0055058B">
        <w:rPr>
          <w:i/>
        </w:rPr>
        <w:t xml:space="preserve"> iedere regio welk deel ze opvragen bij de </w:t>
      </w:r>
      <w:r w:rsidR="00CC0D42">
        <w:rPr>
          <w:i/>
        </w:rPr>
        <w:t xml:space="preserve">scholen. </w:t>
      </w:r>
      <w:r w:rsidR="00CC0D42">
        <w:rPr>
          <w:i/>
        </w:rPr>
        <w:br/>
      </w:r>
      <w:r w:rsidR="00CC0D42">
        <w:rPr>
          <w:i/>
        </w:rPr>
        <w:br/>
        <w:t>Dit basis</w:t>
      </w:r>
      <w:r w:rsidR="0055058B">
        <w:rPr>
          <w:i/>
        </w:rPr>
        <w:t>document wat gaat over Passend Onderwijs krijgt nog een uitbreiding</w:t>
      </w:r>
      <w:r w:rsidR="00544B39">
        <w:rPr>
          <w:i/>
        </w:rPr>
        <w:t>,</w:t>
      </w:r>
      <w:r w:rsidR="0055058B">
        <w:rPr>
          <w:i/>
        </w:rPr>
        <w:t xml:space="preserve"> waar</w:t>
      </w:r>
      <w:r w:rsidR="00544B39">
        <w:rPr>
          <w:i/>
        </w:rPr>
        <w:t>door</w:t>
      </w:r>
      <w:r w:rsidR="0055058B">
        <w:rPr>
          <w:i/>
        </w:rPr>
        <w:t xml:space="preserve"> alle schoolplanthema’s een plek krijgen. Die aanvulling wordt verzorgd door </w:t>
      </w:r>
      <w:r w:rsidR="00CC0D42">
        <w:rPr>
          <w:i/>
        </w:rPr>
        <w:t>een aantal externe diensten (DE, KOC, VGS en VBSO) én wordt tegelijk met een ‘handreiking schoolplan’ gedeeld. Dat deel is een ondersteunende handreiking en wordt naar keuze van d</w:t>
      </w:r>
      <w:r w:rsidR="005473FB">
        <w:rPr>
          <w:i/>
        </w:rPr>
        <w:t>e school wel/niet gebruikt. Éé</w:t>
      </w:r>
      <w:r w:rsidR="00CC0D42">
        <w:rPr>
          <w:i/>
        </w:rPr>
        <w:t xml:space="preserve">n en ander wordt naar verwachting eind april met de scholen gecommuniceerd. </w:t>
      </w:r>
    </w:p>
    <w:p w:rsidR="00C469FB" w:rsidRPr="005473FB" w:rsidRDefault="00FB69BA" w:rsidP="00826F1C">
      <w:pPr>
        <w:pStyle w:val="Kop2"/>
        <w:rPr>
          <w:rFonts w:asciiTheme="minorHAnsi" w:hAnsiTheme="minorHAnsi" w:cstheme="minorHAnsi"/>
          <w:color w:val="auto"/>
          <w:sz w:val="22"/>
          <w:szCs w:val="22"/>
        </w:rPr>
      </w:pPr>
      <w:r w:rsidRPr="0055058B">
        <w:rPr>
          <w:rFonts w:asciiTheme="minorHAnsi" w:hAnsiTheme="minorHAnsi" w:cstheme="minorHAnsi"/>
          <w:b/>
        </w:rPr>
        <w:t xml:space="preserve">B. </w:t>
      </w:r>
      <w:r w:rsidR="00993514" w:rsidRPr="0055058B">
        <w:rPr>
          <w:rFonts w:asciiTheme="minorHAnsi" w:hAnsiTheme="minorHAnsi" w:cstheme="minorHAnsi"/>
          <w:b/>
        </w:rPr>
        <w:t xml:space="preserve">Analyse van sterkten en zwakten (deze </w:t>
      </w:r>
      <w:r w:rsidR="009E432B" w:rsidRPr="0055058B">
        <w:rPr>
          <w:rFonts w:asciiTheme="minorHAnsi" w:hAnsiTheme="minorHAnsi" w:cstheme="minorHAnsi"/>
          <w:b/>
        </w:rPr>
        <w:t xml:space="preserve">zijn ‘intern’) </w:t>
      </w:r>
      <w:r w:rsidR="0055058B" w:rsidRPr="0055058B">
        <w:rPr>
          <w:rFonts w:asciiTheme="minorHAnsi" w:hAnsiTheme="minorHAnsi" w:cstheme="minorHAnsi"/>
          <w:b/>
        </w:rPr>
        <w:br/>
      </w:r>
      <w:r w:rsidR="001A61B6" w:rsidRPr="005473FB">
        <w:rPr>
          <w:rFonts w:asciiTheme="minorHAnsi" w:hAnsiTheme="minorHAnsi" w:cstheme="minorHAnsi"/>
          <w:color w:val="auto"/>
          <w:sz w:val="22"/>
          <w:szCs w:val="22"/>
        </w:rPr>
        <w:t>Onderstaande punten zijn mede gekoppeld aan het nieuwe OSP. De nummering refereert aan de 5 hoofdthema’s van het OSP:</w:t>
      </w:r>
      <w:r w:rsidR="001A61B6" w:rsidRPr="005473FB">
        <w:rPr>
          <w:rFonts w:asciiTheme="minorHAnsi" w:hAnsiTheme="minorHAnsi" w:cstheme="minorHAnsi"/>
          <w:color w:val="auto"/>
          <w:sz w:val="22"/>
          <w:szCs w:val="22"/>
        </w:rPr>
        <w:br/>
        <w:t>Items die beginnen met 1… = thema visie en ambitie</w:t>
      </w:r>
      <w:r w:rsidR="001A61B6" w:rsidRPr="005473FB">
        <w:rPr>
          <w:rFonts w:asciiTheme="minorHAnsi" w:hAnsiTheme="minorHAnsi" w:cstheme="minorHAnsi"/>
          <w:color w:val="auto"/>
          <w:sz w:val="22"/>
          <w:szCs w:val="22"/>
        </w:rPr>
        <w:br/>
        <w:t>items die beginnen met 2… = thema organisatie</w:t>
      </w:r>
      <w:r w:rsidR="001A61B6" w:rsidRPr="005473FB">
        <w:rPr>
          <w:rFonts w:asciiTheme="minorHAnsi" w:hAnsiTheme="minorHAnsi" w:cstheme="minorHAnsi"/>
          <w:color w:val="auto"/>
          <w:sz w:val="22"/>
          <w:szCs w:val="22"/>
        </w:rPr>
        <w:br/>
        <w:t>items die beginnen met 3… = thema ondersteuningsstructuur</w:t>
      </w:r>
      <w:r w:rsidR="001A61B6" w:rsidRPr="005473FB">
        <w:rPr>
          <w:rFonts w:asciiTheme="minorHAnsi" w:hAnsiTheme="minorHAnsi" w:cstheme="minorHAnsi"/>
          <w:color w:val="auto"/>
          <w:sz w:val="22"/>
          <w:szCs w:val="22"/>
        </w:rPr>
        <w:br/>
        <w:t>items die beginnen met 4… = thema kwaliteitszorg</w:t>
      </w:r>
      <w:r w:rsidR="001A61B6" w:rsidRPr="005473FB">
        <w:rPr>
          <w:rFonts w:asciiTheme="minorHAnsi" w:hAnsiTheme="minorHAnsi" w:cstheme="minorHAnsi"/>
          <w:color w:val="auto"/>
          <w:sz w:val="22"/>
          <w:szCs w:val="22"/>
        </w:rPr>
        <w:br/>
        <w:t>items die beginnen met 5… = thema financiën</w:t>
      </w:r>
    </w:p>
    <w:p w:rsidR="006B40B4" w:rsidRPr="001A61B6" w:rsidRDefault="001A61B6" w:rsidP="006B40B4">
      <w:pPr>
        <w:spacing w:after="0"/>
        <w:rPr>
          <w:u w:val="single"/>
        </w:rPr>
      </w:pPr>
      <w:r>
        <w:br/>
      </w:r>
      <w:r>
        <w:rPr>
          <w:u w:val="single"/>
        </w:rPr>
        <w:t xml:space="preserve">Werkwijze: </w:t>
      </w:r>
    </w:p>
    <w:p w:rsidR="00C469FB" w:rsidRDefault="00C469FB" w:rsidP="00C469FB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 xml:space="preserve">Geef bij </w:t>
      </w:r>
      <w:r w:rsidR="008E5968">
        <w:rPr>
          <w:i/>
        </w:rPr>
        <w:t xml:space="preserve">onderstaande sterkten/zwakten </w:t>
      </w:r>
      <w:r>
        <w:rPr>
          <w:i/>
        </w:rPr>
        <w:t>aan hoe de weging voor jullie school is.</w:t>
      </w:r>
    </w:p>
    <w:p w:rsidR="00D76EDA" w:rsidRDefault="00C469FB" w:rsidP="00185894">
      <w:pPr>
        <w:pStyle w:val="Lijstalinea"/>
        <w:numPr>
          <w:ilvl w:val="0"/>
          <w:numId w:val="1"/>
        </w:numPr>
        <w:spacing w:after="0"/>
        <w:rPr>
          <w:i/>
        </w:rPr>
      </w:pPr>
      <w:r>
        <w:rPr>
          <w:i/>
        </w:rPr>
        <w:t>Gebr</w:t>
      </w:r>
      <w:r w:rsidR="00D76EDA">
        <w:rPr>
          <w:i/>
        </w:rPr>
        <w:t>uik daarvoor de bekende indeling:</w:t>
      </w:r>
    </w:p>
    <w:p w:rsidR="00C469FB" w:rsidRPr="00185894" w:rsidRDefault="00D76EDA" w:rsidP="00185894">
      <w:pPr>
        <w:pStyle w:val="Lijstalinea"/>
        <w:numPr>
          <w:ilvl w:val="0"/>
          <w:numId w:val="2"/>
        </w:numPr>
        <w:spacing w:after="0"/>
        <w:rPr>
          <w:i/>
        </w:rPr>
      </w:pPr>
      <w:r w:rsidRPr="00185894">
        <w:rPr>
          <w:i/>
        </w:rPr>
        <w:t>Is in</w:t>
      </w:r>
      <w:r w:rsidR="00C469FB" w:rsidRPr="00185894">
        <w:rPr>
          <w:i/>
        </w:rPr>
        <w:t xml:space="preserve"> </w:t>
      </w:r>
      <w:r w:rsidR="00185894" w:rsidRPr="00185894">
        <w:rPr>
          <w:i/>
        </w:rPr>
        <w:t>onze situatie zwak</w:t>
      </w:r>
    </w:p>
    <w:p w:rsidR="00185894" w:rsidRDefault="00185894" w:rsidP="00185894">
      <w:pPr>
        <w:pStyle w:val="Lijstalinea"/>
        <w:numPr>
          <w:ilvl w:val="0"/>
          <w:numId w:val="2"/>
        </w:numPr>
        <w:spacing w:after="0"/>
        <w:rPr>
          <w:i/>
        </w:rPr>
      </w:pPr>
      <w:r>
        <w:rPr>
          <w:i/>
        </w:rPr>
        <w:t>Is in onze situatie meer zwak dan sterk</w:t>
      </w:r>
    </w:p>
    <w:p w:rsidR="00185894" w:rsidRDefault="00185894" w:rsidP="00185894">
      <w:pPr>
        <w:pStyle w:val="Lijstalinea"/>
        <w:numPr>
          <w:ilvl w:val="0"/>
          <w:numId w:val="2"/>
        </w:numPr>
        <w:spacing w:after="0"/>
        <w:rPr>
          <w:i/>
        </w:rPr>
      </w:pPr>
      <w:r>
        <w:rPr>
          <w:i/>
        </w:rPr>
        <w:t>Is in</w:t>
      </w:r>
      <w:r w:rsidR="00542FF2">
        <w:rPr>
          <w:i/>
        </w:rPr>
        <w:t xml:space="preserve"> onze situatie meer sterk dan zwak</w:t>
      </w:r>
    </w:p>
    <w:p w:rsidR="00542FF2" w:rsidRPr="00185894" w:rsidRDefault="00542FF2" w:rsidP="00185894">
      <w:pPr>
        <w:pStyle w:val="Lijstalinea"/>
        <w:numPr>
          <w:ilvl w:val="0"/>
          <w:numId w:val="2"/>
        </w:numPr>
        <w:spacing w:after="0"/>
        <w:rPr>
          <w:i/>
        </w:rPr>
      </w:pPr>
      <w:r>
        <w:rPr>
          <w:i/>
        </w:rPr>
        <w:t>Is in onze situatie sterk</w:t>
      </w:r>
    </w:p>
    <w:p w:rsidR="00C469FB" w:rsidRDefault="00C469FB" w:rsidP="00185894">
      <w:pPr>
        <w:pStyle w:val="Lijstalinea"/>
        <w:numPr>
          <w:ilvl w:val="0"/>
          <w:numId w:val="1"/>
        </w:numPr>
        <w:spacing w:after="0"/>
        <w:rPr>
          <w:i/>
        </w:rPr>
      </w:pPr>
      <w:r>
        <w:rPr>
          <w:i/>
        </w:rPr>
        <w:t>Geef waar je dat wil</w:t>
      </w:r>
      <w:r w:rsidR="008D32FD">
        <w:rPr>
          <w:i/>
        </w:rPr>
        <w:t>t</w:t>
      </w:r>
      <w:r>
        <w:rPr>
          <w:i/>
        </w:rPr>
        <w:t xml:space="preserve"> een toelichting</w:t>
      </w:r>
    </w:p>
    <w:p w:rsidR="00C469FB" w:rsidRPr="00BD6CFC" w:rsidRDefault="00C469FB" w:rsidP="00185894">
      <w:pPr>
        <w:pStyle w:val="Lijstalinea"/>
        <w:numPr>
          <w:ilvl w:val="0"/>
          <w:numId w:val="1"/>
        </w:numPr>
        <w:spacing w:after="0"/>
        <w:rPr>
          <w:i/>
        </w:rPr>
      </w:pPr>
      <w:r>
        <w:rPr>
          <w:i/>
        </w:rPr>
        <w:t>Je kunt ook items toevoegen, deze dan ook wegen</w:t>
      </w:r>
    </w:p>
    <w:p w:rsidR="00C469FB" w:rsidRDefault="00C469FB" w:rsidP="00C469FB"/>
    <w:p w:rsidR="0055058B" w:rsidRDefault="0055058B" w:rsidP="00C469FB"/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C469FB" w:rsidTr="003F5570">
        <w:tc>
          <w:tcPr>
            <w:tcW w:w="421" w:type="dxa"/>
          </w:tcPr>
          <w:p w:rsidR="00C469FB" w:rsidRDefault="00C469FB" w:rsidP="002D23FC">
            <w:pPr>
              <w:tabs>
                <w:tab w:val="left" w:pos="1680"/>
              </w:tabs>
            </w:pPr>
          </w:p>
        </w:tc>
        <w:tc>
          <w:tcPr>
            <w:tcW w:w="8930" w:type="dxa"/>
          </w:tcPr>
          <w:p w:rsidR="00C469FB" w:rsidRDefault="00C469FB" w:rsidP="002D23FC">
            <w:pPr>
              <w:tabs>
                <w:tab w:val="left" w:pos="1680"/>
              </w:tabs>
            </w:pPr>
            <w:r>
              <w:t xml:space="preserve">SCHOOL: </w:t>
            </w:r>
          </w:p>
          <w:p w:rsidR="00C469FB" w:rsidRDefault="00EC1116" w:rsidP="002D23FC">
            <w:pPr>
              <w:tabs>
                <w:tab w:val="left" w:pos="1680"/>
              </w:tabs>
            </w:pPr>
            <w:r>
              <w:t>PLAATS:</w:t>
            </w:r>
          </w:p>
        </w:tc>
      </w:tr>
    </w:tbl>
    <w:p w:rsidR="009E58D3" w:rsidRDefault="009E58D3"/>
    <w:tbl>
      <w:tblPr>
        <w:tblStyle w:val="Tabelraster"/>
        <w:tblW w:w="9355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3264"/>
      </w:tblGrid>
      <w:tr w:rsidR="00542FF2" w:rsidRPr="00C469FB" w:rsidTr="00CF7EA0">
        <w:tc>
          <w:tcPr>
            <w:tcW w:w="562" w:type="dxa"/>
          </w:tcPr>
          <w:p w:rsidR="00542FF2" w:rsidRPr="00C469FB" w:rsidRDefault="00542FF2" w:rsidP="00663C8D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3B3838" w:themeFill="background2" w:themeFillShade="40"/>
          </w:tcPr>
          <w:p w:rsidR="009B0F14" w:rsidRPr="008A6816" w:rsidRDefault="009B0F14" w:rsidP="00663C8D">
            <w:pPr>
              <w:rPr>
                <w:color w:val="FFFFFF" w:themeColor="background1"/>
                <w:sz w:val="18"/>
              </w:rPr>
            </w:pPr>
          </w:p>
          <w:p w:rsidR="008F7962" w:rsidRPr="00037F62" w:rsidRDefault="00542FF2" w:rsidP="008F796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37F62">
              <w:rPr>
                <w:b/>
                <w:color w:val="FFFFFF" w:themeColor="background1"/>
                <w:sz w:val="24"/>
              </w:rPr>
              <w:t xml:space="preserve">STERKTEN EN ZWAKTEN </w:t>
            </w:r>
          </w:p>
          <w:p w:rsidR="00542FF2" w:rsidRPr="00037F62" w:rsidRDefault="009B0F14" w:rsidP="008F796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37F62">
              <w:rPr>
                <w:b/>
                <w:color w:val="FFFFFF" w:themeColor="background1"/>
                <w:sz w:val="24"/>
              </w:rPr>
              <w:t>VAN ONZE SITUATIE</w:t>
            </w:r>
          </w:p>
          <w:p w:rsidR="009B0F14" w:rsidRPr="008A6816" w:rsidRDefault="009B0F14" w:rsidP="00663C8D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993" w:type="dxa"/>
          </w:tcPr>
          <w:p w:rsidR="00542FF2" w:rsidRPr="003F5570" w:rsidRDefault="00542FF2" w:rsidP="00663C8D"/>
          <w:p w:rsidR="00682902" w:rsidRPr="003F5570" w:rsidRDefault="003F5570" w:rsidP="00663C8D">
            <w:pPr>
              <w:rPr>
                <w:b/>
              </w:rPr>
            </w:pPr>
            <w:r w:rsidRPr="003F5570">
              <w:rPr>
                <w:b/>
              </w:rPr>
              <w:t>W</w:t>
            </w:r>
            <w:r w:rsidR="00535F01">
              <w:rPr>
                <w:b/>
              </w:rPr>
              <w:t>eging</w:t>
            </w:r>
          </w:p>
        </w:tc>
        <w:tc>
          <w:tcPr>
            <w:tcW w:w="3264" w:type="dxa"/>
          </w:tcPr>
          <w:p w:rsidR="00ED5FFD" w:rsidRDefault="00ED5FFD" w:rsidP="00ED5FFD">
            <w:pPr>
              <w:jc w:val="center"/>
              <w:rPr>
                <w:sz w:val="18"/>
              </w:rPr>
            </w:pPr>
          </w:p>
          <w:p w:rsidR="00542FF2" w:rsidRPr="00ED5FFD" w:rsidRDefault="00ED5FFD" w:rsidP="00ED5FFD">
            <w:pPr>
              <w:jc w:val="center"/>
              <w:rPr>
                <w:b/>
                <w:sz w:val="18"/>
              </w:rPr>
            </w:pPr>
            <w:r w:rsidRPr="00ED5FFD">
              <w:rPr>
                <w:b/>
              </w:rPr>
              <w:t>T</w:t>
            </w:r>
            <w:r w:rsidR="00535F01">
              <w:rPr>
                <w:b/>
              </w:rPr>
              <w:t>oelichting</w:t>
            </w:r>
          </w:p>
        </w:tc>
      </w:tr>
      <w:tr w:rsidR="00CC2DE0" w:rsidRPr="00C469FB" w:rsidTr="00CF7EA0">
        <w:tc>
          <w:tcPr>
            <w:tcW w:w="562" w:type="dxa"/>
          </w:tcPr>
          <w:p w:rsidR="00CC2DE0" w:rsidRPr="00C469FB" w:rsidRDefault="00467950" w:rsidP="00663C8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F7EA0">
              <w:rPr>
                <w:sz w:val="18"/>
              </w:rPr>
              <w:t>.1</w:t>
            </w:r>
          </w:p>
        </w:tc>
        <w:tc>
          <w:tcPr>
            <w:tcW w:w="4536" w:type="dxa"/>
            <w:shd w:val="clear" w:color="auto" w:fill="FFFFFF" w:themeFill="background1"/>
          </w:tcPr>
          <w:p w:rsidR="00CC2DE0" w:rsidRPr="00CF7EA0" w:rsidRDefault="00AF4E50" w:rsidP="007F55CF">
            <w:pPr>
              <w:rPr>
                <w:sz w:val="18"/>
              </w:rPr>
            </w:pPr>
            <w:r w:rsidRPr="00CF7EA0">
              <w:rPr>
                <w:sz w:val="18"/>
                <w:shd w:val="clear" w:color="auto" w:fill="FFFFFF" w:themeFill="background1"/>
              </w:rPr>
              <w:t>Het is o</w:t>
            </w:r>
            <w:r w:rsidR="00AA1A0C" w:rsidRPr="00CF7EA0">
              <w:rPr>
                <w:sz w:val="18"/>
                <w:shd w:val="clear" w:color="auto" w:fill="FFFFFF" w:themeFill="background1"/>
              </w:rPr>
              <w:t xml:space="preserve">nze </w:t>
            </w:r>
            <w:r w:rsidR="004B4D06" w:rsidRPr="00CF7EA0">
              <w:rPr>
                <w:sz w:val="18"/>
                <w:shd w:val="clear" w:color="auto" w:fill="FFFFFF" w:themeFill="background1"/>
              </w:rPr>
              <w:t xml:space="preserve">visie én </w:t>
            </w:r>
            <w:r w:rsidR="00AA1A0C" w:rsidRPr="00CF7EA0">
              <w:rPr>
                <w:sz w:val="18"/>
                <w:shd w:val="clear" w:color="auto" w:fill="FFFFFF" w:themeFill="background1"/>
              </w:rPr>
              <w:t>ambitie om voor alle leerlingen uit</w:t>
            </w:r>
            <w:r w:rsidR="00EB2EEE" w:rsidRPr="00CF7EA0">
              <w:rPr>
                <w:sz w:val="18"/>
                <w:shd w:val="clear" w:color="auto" w:fill="FFFFFF" w:themeFill="background1"/>
              </w:rPr>
              <w:t xml:space="preserve"> onze achterban</w:t>
            </w:r>
            <w:r w:rsidR="00382E4A" w:rsidRPr="00CF7EA0">
              <w:rPr>
                <w:sz w:val="18"/>
                <w:shd w:val="clear" w:color="auto" w:fill="FFFFFF" w:themeFill="background1"/>
              </w:rPr>
              <w:t xml:space="preserve"> een passend aanbod</w:t>
            </w:r>
            <w:r w:rsidR="00EB2EEE" w:rsidRPr="00CF7EA0">
              <w:rPr>
                <w:sz w:val="18"/>
                <w:shd w:val="clear" w:color="auto" w:fill="FFFFFF" w:themeFill="background1"/>
              </w:rPr>
              <w:t xml:space="preserve"> te </w:t>
            </w:r>
            <w:r w:rsidR="00382E4A" w:rsidRPr="00CF7EA0">
              <w:rPr>
                <w:sz w:val="18"/>
                <w:shd w:val="clear" w:color="auto" w:fill="FFFFFF" w:themeFill="background1"/>
              </w:rPr>
              <w:t>realiseren</w:t>
            </w:r>
          </w:p>
        </w:tc>
        <w:tc>
          <w:tcPr>
            <w:tcW w:w="993" w:type="dxa"/>
          </w:tcPr>
          <w:p w:rsidR="00CC2DE0" w:rsidRPr="00C469FB" w:rsidRDefault="00CC2DE0" w:rsidP="00663C8D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CC2DE0" w:rsidRPr="00C469FB" w:rsidRDefault="00CC2DE0" w:rsidP="00663C8D">
            <w:pPr>
              <w:rPr>
                <w:sz w:val="18"/>
              </w:rPr>
            </w:pPr>
          </w:p>
        </w:tc>
      </w:tr>
      <w:tr w:rsidR="00467950" w:rsidRPr="00C469FB" w:rsidTr="00CF7EA0">
        <w:tc>
          <w:tcPr>
            <w:tcW w:w="562" w:type="dxa"/>
          </w:tcPr>
          <w:p w:rsidR="00467950" w:rsidRPr="00C469FB" w:rsidRDefault="00CF7EA0" w:rsidP="00663C8D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r w:rsidR="00467950">
              <w:rPr>
                <w:sz w:val="18"/>
              </w:rPr>
              <w:t>2</w:t>
            </w:r>
          </w:p>
        </w:tc>
        <w:tc>
          <w:tcPr>
            <w:tcW w:w="4536" w:type="dxa"/>
          </w:tcPr>
          <w:p w:rsidR="00467950" w:rsidRPr="00CF7EA0" w:rsidRDefault="00ED0B3C" w:rsidP="004B4D06">
            <w:pPr>
              <w:rPr>
                <w:sz w:val="18"/>
              </w:rPr>
            </w:pPr>
            <w:r w:rsidRPr="00CF7EA0">
              <w:rPr>
                <w:sz w:val="18"/>
              </w:rPr>
              <w:t xml:space="preserve">Deze </w:t>
            </w:r>
            <w:r w:rsidR="004B4D06" w:rsidRPr="00CF7EA0">
              <w:rPr>
                <w:sz w:val="18"/>
              </w:rPr>
              <w:t xml:space="preserve">visie én </w:t>
            </w:r>
            <w:r w:rsidRPr="00CF7EA0">
              <w:rPr>
                <w:sz w:val="18"/>
              </w:rPr>
              <w:t xml:space="preserve">ambitie </w:t>
            </w:r>
            <w:r w:rsidR="007376A5" w:rsidRPr="00CF7EA0">
              <w:rPr>
                <w:sz w:val="18"/>
              </w:rPr>
              <w:t xml:space="preserve">leeft </w:t>
            </w:r>
            <w:r w:rsidR="00396141" w:rsidRPr="00CF7EA0">
              <w:rPr>
                <w:sz w:val="18"/>
              </w:rPr>
              <w:t xml:space="preserve">bij </w:t>
            </w:r>
            <w:r w:rsidR="007376A5" w:rsidRPr="00CF7EA0">
              <w:rPr>
                <w:sz w:val="18"/>
              </w:rPr>
              <w:t>en wordt gedragen door bestuurders en toezichthouders</w:t>
            </w:r>
          </w:p>
        </w:tc>
        <w:tc>
          <w:tcPr>
            <w:tcW w:w="993" w:type="dxa"/>
          </w:tcPr>
          <w:p w:rsidR="00467950" w:rsidRPr="00C469FB" w:rsidRDefault="00467950" w:rsidP="00663C8D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467950" w:rsidRPr="00C469FB" w:rsidRDefault="00467950" w:rsidP="00663C8D">
            <w:pPr>
              <w:rPr>
                <w:sz w:val="18"/>
              </w:rPr>
            </w:pPr>
          </w:p>
        </w:tc>
      </w:tr>
      <w:tr w:rsidR="00ED0B3C" w:rsidRPr="00C469FB" w:rsidTr="00CF7EA0">
        <w:tc>
          <w:tcPr>
            <w:tcW w:w="562" w:type="dxa"/>
          </w:tcPr>
          <w:p w:rsidR="00ED0B3C" w:rsidRDefault="00CF7EA0" w:rsidP="00ED0B3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r w:rsidR="00214DFD">
              <w:rPr>
                <w:sz w:val="18"/>
              </w:rPr>
              <w:t>3</w:t>
            </w:r>
          </w:p>
        </w:tc>
        <w:tc>
          <w:tcPr>
            <w:tcW w:w="4536" w:type="dxa"/>
          </w:tcPr>
          <w:p w:rsidR="00ED0B3C" w:rsidRPr="00CF7EA0" w:rsidRDefault="00ED0B3C" w:rsidP="00ED0B3C">
            <w:pPr>
              <w:rPr>
                <w:sz w:val="18"/>
              </w:rPr>
            </w:pPr>
            <w:r w:rsidRPr="00CF7EA0">
              <w:rPr>
                <w:sz w:val="18"/>
              </w:rPr>
              <w:t xml:space="preserve">Deze </w:t>
            </w:r>
            <w:r w:rsidR="004B4D06" w:rsidRPr="00CF7EA0">
              <w:rPr>
                <w:sz w:val="18"/>
              </w:rPr>
              <w:t xml:space="preserve">visie én </w:t>
            </w:r>
            <w:r w:rsidRPr="00CF7EA0">
              <w:rPr>
                <w:sz w:val="18"/>
              </w:rPr>
              <w:t xml:space="preserve">ambitie </w:t>
            </w:r>
            <w:r w:rsidR="00E1043E" w:rsidRPr="00CF7EA0">
              <w:rPr>
                <w:sz w:val="18"/>
              </w:rPr>
              <w:t xml:space="preserve">leeft in ons team en </w:t>
            </w:r>
            <w:r w:rsidRPr="00CF7EA0">
              <w:rPr>
                <w:sz w:val="18"/>
              </w:rPr>
              <w:t>wordt gedragen door onze medewerkers</w:t>
            </w:r>
          </w:p>
        </w:tc>
        <w:tc>
          <w:tcPr>
            <w:tcW w:w="993" w:type="dxa"/>
          </w:tcPr>
          <w:p w:rsidR="00ED0B3C" w:rsidRPr="00C469FB" w:rsidRDefault="00ED0B3C" w:rsidP="00ED0B3C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ED0B3C" w:rsidRPr="00C469FB" w:rsidRDefault="00ED0B3C" w:rsidP="00ED0B3C">
            <w:pPr>
              <w:rPr>
                <w:sz w:val="18"/>
              </w:rPr>
            </w:pPr>
          </w:p>
        </w:tc>
      </w:tr>
      <w:tr w:rsidR="00382E4A" w:rsidRPr="00C469FB" w:rsidTr="00CF7EA0">
        <w:tc>
          <w:tcPr>
            <w:tcW w:w="562" w:type="dxa"/>
          </w:tcPr>
          <w:p w:rsidR="00382E4A" w:rsidRDefault="00CF7EA0" w:rsidP="00ED0B3C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r w:rsidR="007F55CF">
              <w:rPr>
                <w:sz w:val="1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382E4A" w:rsidRDefault="00382E4A" w:rsidP="007F55CF">
            <w:pPr>
              <w:rPr>
                <w:sz w:val="18"/>
              </w:rPr>
            </w:pPr>
            <w:r w:rsidRPr="007F55CF">
              <w:rPr>
                <w:sz w:val="18"/>
                <w:shd w:val="clear" w:color="auto" w:fill="FFFFFF" w:themeFill="background1"/>
              </w:rPr>
              <w:t xml:space="preserve">Wij </w:t>
            </w:r>
            <w:r w:rsidR="007F55CF" w:rsidRPr="007F55CF">
              <w:rPr>
                <w:sz w:val="18"/>
                <w:shd w:val="clear" w:color="auto" w:fill="FFFFFF" w:themeFill="background1"/>
              </w:rPr>
              <w:t>willen</w:t>
            </w:r>
            <w:r w:rsidRPr="007F55CF">
              <w:rPr>
                <w:sz w:val="18"/>
                <w:shd w:val="clear" w:color="auto" w:fill="FFFFFF" w:themeFill="background1"/>
              </w:rPr>
              <w:t xml:space="preserve"> (organisatorische, inhoudelijke) vernieuwingen realiseren die de ondersteuningsmogelijkheden van onze school uitbreiden en verdiepen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993" w:type="dxa"/>
          </w:tcPr>
          <w:p w:rsidR="00382E4A" w:rsidRPr="00C469FB" w:rsidRDefault="00382E4A" w:rsidP="00ED0B3C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82E4A" w:rsidRDefault="00382E4A" w:rsidP="00ED0B3C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</w:tcPr>
          <w:p w:rsidR="00CF7EA0" w:rsidRDefault="00CF7EA0" w:rsidP="00CF7EA0">
            <w:pPr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4536" w:type="dxa"/>
            <w:shd w:val="clear" w:color="auto" w:fill="FFFFFF" w:themeFill="background1"/>
          </w:tcPr>
          <w:p w:rsidR="00CF7EA0" w:rsidRPr="001A61B6" w:rsidRDefault="00CF7EA0" w:rsidP="00CF7EA0">
            <w:pPr>
              <w:rPr>
                <w:i/>
                <w:strike/>
                <w:sz w:val="18"/>
                <w:shd w:val="clear" w:color="auto" w:fill="FFFFFF" w:themeFill="background1"/>
              </w:rPr>
            </w:pPr>
            <w:r>
              <w:rPr>
                <w:sz w:val="18"/>
              </w:rPr>
              <w:t>L</w:t>
            </w:r>
            <w:r w:rsidRPr="00C469FB">
              <w:rPr>
                <w:sz w:val="18"/>
              </w:rPr>
              <w:t xml:space="preserve">eerlingen </w:t>
            </w:r>
            <w:r>
              <w:rPr>
                <w:sz w:val="18"/>
              </w:rPr>
              <w:t xml:space="preserve">mogen bij ons niet lijden onder </w:t>
            </w:r>
            <w:r w:rsidRPr="00C469FB">
              <w:rPr>
                <w:sz w:val="18"/>
              </w:rPr>
              <w:t>leerdruk</w:t>
            </w:r>
            <w:r>
              <w:rPr>
                <w:sz w:val="18"/>
              </w:rPr>
              <w:t xml:space="preserve">, zij voelen zich wel in onze school. </w:t>
            </w:r>
          </w:p>
        </w:tc>
        <w:tc>
          <w:tcPr>
            <w:tcW w:w="993" w:type="dxa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</w:tcPr>
          <w:p w:rsidR="00CF7EA0" w:rsidRDefault="00CF7EA0" w:rsidP="00CF7EA0">
            <w:pPr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4536" w:type="dxa"/>
            <w:shd w:val="clear" w:color="auto" w:fill="FFFFFF" w:themeFill="background1"/>
          </w:tcPr>
          <w:p w:rsidR="00CF7EA0" w:rsidRDefault="00CF7EA0" w:rsidP="00CF7EA0">
            <w:pPr>
              <w:rPr>
                <w:sz w:val="18"/>
              </w:rPr>
            </w:pPr>
            <w:r w:rsidRPr="00465D36">
              <w:rPr>
                <w:sz w:val="18"/>
              </w:rPr>
              <w:t xml:space="preserve">Omgaan met moeilijk (verstaanbaar) gedrag behoort tot de taakinhoud van onze leerkrachten.  </w:t>
            </w:r>
          </w:p>
        </w:tc>
        <w:tc>
          <w:tcPr>
            <w:tcW w:w="993" w:type="dxa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</w:tcPr>
          <w:p w:rsidR="00CF7EA0" w:rsidRDefault="00CF7EA0" w:rsidP="00CF7EA0">
            <w:pPr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4536" w:type="dxa"/>
            <w:shd w:val="clear" w:color="auto" w:fill="FFFFFF" w:themeFill="background1"/>
          </w:tcPr>
          <w:p w:rsidR="00CF7EA0" w:rsidRPr="00465D36" w:rsidRDefault="00CF7EA0" w:rsidP="00CF7EA0">
            <w:pPr>
              <w:rPr>
                <w:sz w:val="18"/>
              </w:rPr>
            </w:pPr>
            <w:r w:rsidRPr="00484100">
              <w:rPr>
                <w:sz w:val="18"/>
              </w:rPr>
              <w:t xml:space="preserve">Een leerling, ondanks verwijzing, blijft onze leerling. We hebben daarom nauw contact met het SO/SBO en werken bewust naar een (mogelijke) terugplaatsing. </w:t>
            </w:r>
          </w:p>
        </w:tc>
        <w:tc>
          <w:tcPr>
            <w:tcW w:w="993" w:type="dxa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  <w:shd w:val="clear" w:color="auto" w:fill="D9D9D9" w:themeFill="background1" w:themeFillShade="D9"/>
          </w:tcPr>
          <w:p w:rsidR="00CF7EA0" w:rsidRDefault="00CF7EA0" w:rsidP="00CF7EA0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CF7EA0" w:rsidRPr="00484100" w:rsidRDefault="00CF7EA0" w:rsidP="00CF7EA0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</w:tcPr>
          <w:p w:rsidR="00CF7EA0" w:rsidRDefault="00CF7EA0" w:rsidP="00CF7EA0">
            <w:pPr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536" w:type="dxa"/>
          </w:tcPr>
          <w:p w:rsidR="00CF7EA0" w:rsidRPr="00465D36" w:rsidRDefault="00CF7EA0" w:rsidP="00CF7EA0">
            <w:pPr>
              <w:rPr>
                <w:sz w:val="18"/>
              </w:rPr>
            </w:pPr>
            <w:r>
              <w:rPr>
                <w:sz w:val="18"/>
              </w:rPr>
              <w:t>In ons team is structureel voldoende expertise aanwezig voor het realiseren van passend onderwijs</w:t>
            </w:r>
          </w:p>
        </w:tc>
        <w:tc>
          <w:tcPr>
            <w:tcW w:w="993" w:type="dxa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</w:tcPr>
          <w:p w:rsidR="00CF7EA0" w:rsidRDefault="00CF7EA0" w:rsidP="00CF7EA0">
            <w:pPr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536" w:type="dxa"/>
          </w:tcPr>
          <w:p w:rsidR="00CF7EA0" w:rsidRPr="00465D36" w:rsidRDefault="00CF7EA0" w:rsidP="00CF7EA0">
            <w:pPr>
              <w:rPr>
                <w:sz w:val="18"/>
              </w:rPr>
            </w:pPr>
            <w:r w:rsidRPr="001D7F73">
              <w:rPr>
                <w:sz w:val="18"/>
              </w:rPr>
              <w:t xml:space="preserve">Waar mogelijk zetten we de expertise in van andere scholen. Dat kan bij een stuk begeleiding óf voor een bao-bao plaatsing. </w:t>
            </w:r>
          </w:p>
        </w:tc>
        <w:tc>
          <w:tcPr>
            <w:tcW w:w="993" w:type="dxa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</w:tcPr>
          <w:p w:rsidR="00CF7EA0" w:rsidRDefault="00CF7EA0" w:rsidP="00CF7EA0">
            <w:pPr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536" w:type="dxa"/>
          </w:tcPr>
          <w:p w:rsidR="00CF7EA0" w:rsidRPr="001D7F73" w:rsidRDefault="00CF7EA0" w:rsidP="00CF7EA0">
            <w:pPr>
              <w:rPr>
                <w:sz w:val="18"/>
              </w:rPr>
            </w:pPr>
            <w:r w:rsidRPr="00484100">
              <w:rPr>
                <w:sz w:val="18"/>
              </w:rPr>
              <w:t xml:space="preserve">In het kader van meer eigenaarschap bij scholen, werkt de school op een transparante manier. Verantwoording nemen én open communiceren over de dilemma’s en geboekte resultaten, zijn daarbij de kernbegrippen. </w:t>
            </w:r>
          </w:p>
        </w:tc>
        <w:tc>
          <w:tcPr>
            <w:tcW w:w="993" w:type="dxa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  <w:shd w:val="clear" w:color="auto" w:fill="D9D9D9" w:themeFill="background1" w:themeFillShade="D9"/>
          </w:tcPr>
          <w:p w:rsidR="00CF7EA0" w:rsidRDefault="00CF7EA0" w:rsidP="00CF7EA0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CF7EA0" w:rsidRPr="001D7F73" w:rsidRDefault="00CF7EA0" w:rsidP="00CF7EA0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CF7EA0" w:rsidRPr="00C469FB" w:rsidTr="00CF7EA0">
        <w:tc>
          <w:tcPr>
            <w:tcW w:w="562" w:type="dxa"/>
          </w:tcPr>
          <w:p w:rsidR="00CF7EA0" w:rsidRDefault="003F5467" w:rsidP="00CF7EA0">
            <w:pPr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4536" w:type="dxa"/>
          </w:tcPr>
          <w:p w:rsidR="00CF7EA0" w:rsidRPr="00465D36" w:rsidRDefault="00CF7EA0" w:rsidP="00CF7EA0">
            <w:pPr>
              <w:rPr>
                <w:sz w:val="18"/>
              </w:rPr>
            </w:pPr>
            <w:r w:rsidRPr="00465D36">
              <w:rPr>
                <w:sz w:val="18"/>
              </w:rPr>
              <w:t xml:space="preserve">Het voortdurend creëren van een pedagogische veilige basis voor onze leerling is het fundament van de ondersteuning van onze leerlingen. </w:t>
            </w:r>
          </w:p>
        </w:tc>
        <w:tc>
          <w:tcPr>
            <w:tcW w:w="993" w:type="dxa"/>
          </w:tcPr>
          <w:p w:rsidR="00CF7EA0" w:rsidRPr="00C469FB" w:rsidRDefault="00CF7EA0" w:rsidP="00CF7EA0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CF7EA0" w:rsidRDefault="00CF7EA0" w:rsidP="00CF7EA0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4536" w:type="dxa"/>
          </w:tcPr>
          <w:p w:rsidR="003F5467" w:rsidRPr="00465D36" w:rsidRDefault="003F5467" w:rsidP="003F5467">
            <w:pPr>
              <w:rPr>
                <w:sz w:val="18"/>
              </w:rPr>
            </w:pPr>
            <w:r w:rsidRPr="00465D36">
              <w:rPr>
                <w:sz w:val="18"/>
              </w:rPr>
              <w:t xml:space="preserve">HGW is verweven in de aanpak van de ondersteuning van onze leerlingen, zodat we afstemmen af op wat elke leerling kan en nodig heeft om te groeien in zijn ontwikkeling.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4536" w:type="dxa"/>
          </w:tcPr>
          <w:p w:rsidR="003F5467" w:rsidRPr="00465D36" w:rsidRDefault="003F5467" w:rsidP="003F5467">
            <w:pPr>
              <w:rPr>
                <w:sz w:val="18"/>
              </w:rPr>
            </w:pPr>
            <w:r w:rsidRPr="00465D36">
              <w:rPr>
                <w:sz w:val="18"/>
              </w:rPr>
              <w:t xml:space="preserve">Ons ondersteuningsteam (OT) is in staat om complexe vraagstukken vroegtijdig te signaleren en in samenwerking met partners (o.a. de jeugdhulp) ‘op te pakken’.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4536" w:type="dxa"/>
          </w:tcPr>
          <w:p w:rsidR="003F5467" w:rsidRPr="00465D36" w:rsidRDefault="003F5467" w:rsidP="003F5467">
            <w:pPr>
              <w:rPr>
                <w:sz w:val="18"/>
              </w:rPr>
            </w:pPr>
            <w:r w:rsidRPr="00465D36">
              <w:rPr>
                <w:sz w:val="18"/>
              </w:rPr>
              <w:t xml:space="preserve">Rond (ziekte)verzuim en het voorkomen van thuiszitters werkt de school actief samen met de leerplicht, GGD/CJG, het SWV met de jeugdhulp.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4536" w:type="dxa"/>
          </w:tcPr>
          <w:p w:rsidR="003F5467" w:rsidRPr="00465D36" w:rsidRDefault="003F5467" w:rsidP="003F5467">
            <w:pPr>
              <w:rPr>
                <w:sz w:val="18"/>
              </w:rPr>
            </w:pPr>
            <w:r w:rsidRPr="001D7F73">
              <w:rPr>
                <w:sz w:val="18"/>
                <w:szCs w:val="18"/>
              </w:rPr>
              <w:t xml:space="preserve">De directie geeft </w:t>
            </w:r>
            <w:r>
              <w:rPr>
                <w:sz w:val="18"/>
                <w:szCs w:val="18"/>
              </w:rPr>
              <w:t>ruimte aan de intern begeleider</w:t>
            </w:r>
            <w:r w:rsidRPr="001D7F73">
              <w:rPr>
                <w:sz w:val="18"/>
                <w:szCs w:val="18"/>
              </w:rPr>
              <w:t xml:space="preserve"> om te handelen in het belang van groepen en leerlingen en stimuleert en f</w:t>
            </w:r>
            <w:r>
              <w:rPr>
                <w:sz w:val="18"/>
                <w:szCs w:val="18"/>
              </w:rPr>
              <w:t>aciliteert de intern begeleider</w:t>
            </w:r>
            <w:r w:rsidRPr="001D7F73">
              <w:rPr>
                <w:sz w:val="18"/>
                <w:szCs w:val="18"/>
              </w:rPr>
              <w:t xml:space="preserve"> om deze ruime in te vullen</w:t>
            </w:r>
            <w:r>
              <w:rPr>
                <w:sz w:val="18"/>
                <w:szCs w:val="18"/>
              </w:rPr>
              <w:t xml:space="preserve"> (vormen samen een tandem).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4536" w:type="dxa"/>
          </w:tcPr>
          <w:p w:rsidR="003F5467" w:rsidRPr="001D7F73" w:rsidRDefault="003F5467" w:rsidP="003F5467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In ons team zijn voldoende </w:t>
            </w:r>
            <w:r w:rsidRPr="00C469FB">
              <w:rPr>
                <w:sz w:val="18"/>
              </w:rPr>
              <w:t xml:space="preserve">leraren in staat om met moeilijk </w:t>
            </w:r>
            <w:r>
              <w:rPr>
                <w:sz w:val="18"/>
              </w:rPr>
              <w:t xml:space="preserve">verstaanbaar </w:t>
            </w:r>
            <w:r w:rsidRPr="00C469FB">
              <w:rPr>
                <w:sz w:val="18"/>
              </w:rPr>
              <w:t>gedrag om te gaan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4536" w:type="dxa"/>
          </w:tcPr>
          <w:p w:rsidR="003F5467" w:rsidRPr="001D7F73" w:rsidRDefault="003F5467" w:rsidP="003F5467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We </w:t>
            </w:r>
            <w:r w:rsidRPr="00465D36">
              <w:rPr>
                <w:sz w:val="18"/>
              </w:rPr>
              <w:t>erkennen in ons team dat leraren verschillen in het hebben van een klik met lln. met moeilijk gedrag en weten daar een passende oplossing binnen de school voor te vinden.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3.8</w:t>
            </w:r>
          </w:p>
        </w:tc>
        <w:tc>
          <w:tcPr>
            <w:tcW w:w="4536" w:type="dxa"/>
          </w:tcPr>
          <w:p w:rsidR="003F5467" w:rsidRPr="00465D36" w:rsidRDefault="003F5467" w:rsidP="003F5467">
            <w:pPr>
              <w:rPr>
                <w:sz w:val="18"/>
              </w:rPr>
            </w:pPr>
            <w:r w:rsidRPr="00465D36">
              <w:rPr>
                <w:sz w:val="18"/>
              </w:rPr>
              <w:t xml:space="preserve">Onze leerkrachten zijn erop gespitst om zo veel mogelijk preventief te handelen om grote ondersteuningsbehoeften waar mogelijk te voorkomen.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4536" w:type="dxa"/>
          </w:tcPr>
          <w:p w:rsidR="003F5467" w:rsidRPr="00465D36" w:rsidRDefault="003F5467" w:rsidP="003F5467">
            <w:pPr>
              <w:rPr>
                <w:sz w:val="18"/>
              </w:rPr>
            </w:pPr>
            <w:r w:rsidRPr="00465D36">
              <w:rPr>
                <w:sz w:val="18"/>
              </w:rPr>
              <w:t xml:space="preserve">Onze leerkrachten zijn in staat om samen met anderen binnen en buiten de school samen te werken voor een goede ontwikkeling van hun groep en individuele leerlingen.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4536" w:type="dxa"/>
            <w:shd w:val="clear" w:color="auto" w:fill="FFFFFF" w:themeFill="background1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Wij werken samen met ouders aan de ondersteuning voor leerlingen (partnerschap)</w:t>
            </w:r>
            <w:r w:rsidR="001D4A91">
              <w:rPr>
                <w:sz w:val="18"/>
              </w:rPr>
              <w:t>.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4536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Meer- en hoogbegaafde leerlingen krijgen het aanbod wat zij nodig hebben bij ons op school</w:t>
            </w:r>
            <w:r w:rsidR="001D4A91">
              <w:rPr>
                <w:sz w:val="18"/>
              </w:rPr>
              <w:t>.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4536" w:type="dxa"/>
          </w:tcPr>
          <w:p w:rsidR="003F5467" w:rsidRPr="001D7F73" w:rsidRDefault="003F5467" w:rsidP="003F5467">
            <w:pPr>
              <w:rPr>
                <w:sz w:val="18"/>
              </w:rPr>
            </w:pPr>
            <w:r w:rsidRPr="00EC0AC0">
              <w:rPr>
                <w:sz w:val="18"/>
              </w:rPr>
              <w:t xml:space="preserve">De inrichting van onze school en schoolplein is afgestemd op de populatie die we binnen onze school hebben.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3F5467">
        <w:tc>
          <w:tcPr>
            <w:tcW w:w="562" w:type="dxa"/>
            <w:shd w:val="clear" w:color="auto" w:fill="D9D9D9" w:themeFill="background1" w:themeFillShade="D9"/>
          </w:tcPr>
          <w:p w:rsidR="003F5467" w:rsidRDefault="003F5467" w:rsidP="003F5467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F5467" w:rsidRPr="00EC0AC0" w:rsidRDefault="003F5467" w:rsidP="003F5467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:rsidR="003F5467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Pr="00C469FB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4536" w:type="dxa"/>
          </w:tcPr>
          <w:p w:rsidR="003F5467" w:rsidRPr="004B4D06" w:rsidRDefault="003F5467" w:rsidP="003F5467">
            <w:pPr>
              <w:rPr>
                <w:color w:val="FF0000"/>
                <w:sz w:val="18"/>
              </w:rPr>
            </w:pPr>
            <w:r w:rsidRPr="001D7F73">
              <w:rPr>
                <w:sz w:val="18"/>
              </w:rPr>
              <w:t xml:space="preserve">We zetten gericht (extra) middelen in om ons onderwijs (nog) passender maken, passend bij onze ambitie.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4536" w:type="dxa"/>
          </w:tcPr>
          <w:p w:rsidR="003F5467" w:rsidRPr="00B4170A" w:rsidRDefault="003F5467" w:rsidP="003F5467">
            <w:pPr>
              <w:rPr>
                <w:color w:val="FF0000"/>
                <w:sz w:val="18"/>
              </w:rPr>
            </w:pPr>
            <w:r w:rsidRPr="001D7F73">
              <w:rPr>
                <w:sz w:val="18"/>
              </w:rPr>
              <w:t xml:space="preserve">De medewerkers (IB en team) worden betrokken bij de inzet van deze middelen. 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3F5467">
        <w:tc>
          <w:tcPr>
            <w:tcW w:w="562" w:type="dxa"/>
            <w:shd w:val="clear" w:color="auto" w:fill="D9D9D9" w:themeFill="background1" w:themeFillShade="D9"/>
          </w:tcPr>
          <w:p w:rsidR="003F5467" w:rsidRDefault="003F5467" w:rsidP="003F5467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F5467" w:rsidRPr="007E2E1B" w:rsidRDefault="003F5467" w:rsidP="003F5467">
            <w:pPr>
              <w:rPr>
                <w:color w:val="0070C0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</w:tr>
      <w:tr w:rsidR="003F5467" w:rsidRPr="00C469FB" w:rsidTr="00CF7EA0">
        <w:tc>
          <w:tcPr>
            <w:tcW w:w="562" w:type="dxa"/>
          </w:tcPr>
          <w:p w:rsidR="003F5467" w:rsidRDefault="003F5467" w:rsidP="003F5467">
            <w:pPr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4536" w:type="dxa"/>
          </w:tcPr>
          <w:p w:rsidR="003F5467" w:rsidRDefault="003F5467" w:rsidP="003F5467">
            <w:pPr>
              <w:rPr>
                <w:color w:val="FF0000"/>
                <w:sz w:val="18"/>
              </w:rPr>
            </w:pPr>
            <w:r w:rsidRPr="00EC0AC0">
              <w:rPr>
                <w:sz w:val="18"/>
              </w:rPr>
              <w:t>De school evalueert jaarlijks de leerlingondersteuning, zowel de effecten als de inzet van de ondersteuningsmiddelen. En betrekt daarbij enkele kengetallen (deelnamepercentage, inzet AB, e.d.)</w:t>
            </w:r>
          </w:p>
        </w:tc>
        <w:tc>
          <w:tcPr>
            <w:tcW w:w="993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3F5467" w:rsidRPr="00C469FB" w:rsidRDefault="003F5467" w:rsidP="003F5467">
            <w:pPr>
              <w:rPr>
                <w:sz w:val="18"/>
              </w:rPr>
            </w:pPr>
          </w:p>
        </w:tc>
      </w:tr>
    </w:tbl>
    <w:p w:rsidR="00484100" w:rsidRPr="00FB69BA" w:rsidRDefault="00484100" w:rsidP="00EA19F7">
      <w:pPr>
        <w:rPr>
          <w:i/>
        </w:rPr>
      </w:pPr>
      <w:r>
        <w:rPr>
          <w:i/>
          <w:color w:val="FF0000"/>
        </w:rPr>
        <w:br/>
      </w:r>
      <w:r w:rsidR="00FB69BA">
        <w:rPr>
          <w:i/>
        </w:rPr>
        <w:t xml:space="preserve">Tot slot 3 items die in relatie staat tot het samenwerkingsverband als geheel: </w:t>
      </w:r>
    </w:p>
    <w:tbl>
      <w:tblPr>
        <w:tblStyle w:val="Tabelraster"/>
        <w:tblW w:w="9355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993"/>
        <w:gridCol w:w="3264"/>
      </w:tblGrid>
      <w:tr w:rsidR="00484100" w:rsidRPr="00C469FB" w:rsidTr="00711763">
        <w:tc>
          <w:tcPr>
            <w:tcW w:w="421" w:type="dxa"/>
          </w:tcPr>
          <w:p w:rsidR="00484100" w:rsidRDefault="00484100" w:rsidP="00711763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484100" w:rsidRPr="00FB69BA" w:rsidRDefault="00484100" w:rsidP="00711763">
            <w:pPr>
              <w:rPr>
                <w:sz w:val="18"/>
              </w:rPr>
            </w:pPr>
            <w:r w:rsidRPr="00FB69BA">
              <w:rPr>
                <w:sz w:val="18"/>
              </w:rPr>
              <w:t xml:space="preserve">Onze school is voldoende betrokken bij het opstellen en de uitvoering van het beleid binnen Berséba. </w:t>
            </w:r>
          </w:p>
        </w:tc>
        <w:tc>
          <w:tcPr>
            <w:tcW w:w="993" w:type="dxa"/>
          </w:tcPr>
          <w:p w:rsidR="00484100" w:rsidRPr="00C469FB" w:rsidRDefault="00484100" w:rsidP="00711763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484100" w:rsidRPr="00C469FB" w:rsidRDefault="00484100" w:rsidP="00711763">
            <w:pPr>
              <w:rPr>
                <w:sz w:val="18"/>
              </w:rPr>
            </w:pPr>
          </w:p>
        </w:tc>
      </w:tr>
      <w:tr w:rsidR="00484100" w:rsidRPr="00C469FB" w:rsidTr="00711763">
        <w:tc>
          <w:tcPr>
            <w:tcW w:w="421" w:type="dxa"/>
          </w:tcPr>
          <w:p w:rsidR="00484100" w:rsidRDefault="00484100" w:rsidP="00711763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484100" w:rsidRPr="00FB69BA" w:rsidRDefault="00484100" w:rsidP="00484100">
            <w:pPr>
              <w:rPr>
                <w:sz w:val="18"/>
              </w:rPr>
            </w:pPr>
            <w:r w:rsidRPr="00FB69BA">
              <w:rPr>
                <w:sz w:val="18"/>
              </w:rPr>
              <w:t xml:space="preserve">Binnen de regiobijeenkomsten wordt er voldoende tegemoet gekomen aan de leerwensen van onze school (van en met elkaar leren) / onze visie op hoe we een samenwerkingsverband willen zijn. </w:t>
            </w:r>
          </w:p>
        </w:tc>
        <w:tc>
          <w:tcPr>
            <w:tcW w:w="993" w:type="dxa"/>
          </w:tcPr>
          <w:p w:rsidR="00484100" w:rsidRPr="00C469FB" w:rsidRDefault="00484100" w:rsidP="00711763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484100" w:rsidRPr="00C469FB" w:rsidRDefault="00484100" w:rsidP="00711763">
            <w:pPr>
              <w:rPr>
                <w:sz w:val="18"/>
              </w:rPr>
            </w:pPr>
          </w:p>
        </w:tc>
      </w:tr>
      <w:tr w:rsidR="00484100" w:rsidRPr="00C469FB" w:rsidTr="00711763">
        <w:tc>
          <w:tcPr>
            <w:tcW w:w="421" w:type="dxa"/>
          </w:tcPr>
          <w:p w:rsidR="00484100" w:rsidRDefault="00484100" w:rsidP="00711763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484100" w:rsidRPr="00FB69BA" w:rsidRDefault="00484100" w:rsidP="00711763">
            <w:pPr>
              <w:rPr>
                <w:sz w:val="18"/>
              </w:rPr>
            </w:pPr>
            <w:r w:rsidRPr="00FB69BA">
              <w:rPr>
                <w:sz w:val="18"/>
              </w:rPr>
              <w:t xml:space="preserve">De vertegenwoordigers van Berséba (regiomanager en zorgmakelaar) hebben een duidelijke stimulerende én verbindende rol in onze regio.  </w:t>
            </w:r>
          </w:p>
        </w:tc>
        <w:tc>
          <w:tcPr>
            <w:tcW w:w="993" w:type="dxa"/>
          </w:tcPr>
          <w:p w:rsidR="00484100" w:rsidRPr="00C469FB" w:rsidRDefault="00484100" w:rsidP="00711763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484100" w:rsidRPr="00C469FB" w:rsidRDefault="00484100" w:rsidP="00711763">
            <w:pPr>
              <w:rPr>
                <w:sz w:val="18"/>
              </w:rPr>
            </w:pPr>
          </w:p>
        </w:tc>
      </w:tr>
      <w:tr w:rsidR="00484100" w:rsidRPr="00C469FB" w:rsidTr="00711763">
        <w:tc>
          <w:tcPr>
            <w:tcW w:w="421" w:type="dxa"/>
          </w:tcPr>
          <w:p w:rsidR="00484100" w:rsidRDefault="00484100" w:rsidP="00711763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484100" w:rsidRPr="00DB79C5" w:rsidRDefault="00484100" w:rsidP="00711763">
            <w:pPr>
              <w:rPr>
                <w:b/>
                <w:color w:val="538135" w:themeColor="accent6" w:themeShade="BF"/>
                <w:sz w:val="18"/>
              </w:rPr>
            </w:pPr>
          </w:p>
        </w:tc>
        <w:tc>
          <w:tcPr>
            <w:tcW w:w="993" w:type="dxa"/>
          </w:tcPr>
          <w:p w:rsidR="00484100" w:rsidRPr="00C469FB" w:rsidRDefault="00484100" w:rsidP="00711763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484100" w:rsidRPr="00C469FB" w:rsidRDefault="00484100" w:rsidP="00711763">
            <w:pPr>
              <w:rPr>
                <w:sz w:val="18"/>
              </w:rPr>
            </w:pPr>
          </w:p>
        </w:tc>
      </w:tr>
    </w:tbl>
    <w:p w:rsidR="00AC4ED0" w:rsidRDefault="00AC4ED0" w:rsidP="00EA19F7">
      <w:pPr>
        <w:rPr>
          <w:i/>
          <w:color w:val="FF0000"/>
        </w:rPr>
      </w:pPr>
      <w:r>
        <w:rPr>
          <w:i/>
          <w:color w:val="FF0000"/>
        </w:rPr>
        <w:t>Sterkten en zwakten die de school zelf wil toevoegen. A.u.b. dan ook wegen.</w:t>
      </w:r>
    </w:p>
    <w:tbl>
      <w:tblPr>
        <w:tblStyle w:val="Tabelraster"/>
        <w:tblW w:w="9355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993"/>
        <w:gridCol w:w="3264"/>
      </w:tblGrid>
      <w:tr w:rsidR="00AC4ED0" w:rsidRPr="00C469FB" w:rsidTr="00796808">
        <w:tc>
          <w:tcPr>
            <w:tcW w:w="421" w:type="dxa"/>
          </w:tcPr>
          <w:p w:rsidR="00AC4ED0" w:rsidRDefault="00AC4ED0" w:rsidP="00796808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AC4ED0" w:rsidRPr="00FB69BA" w:rsidRDefault="00AC4ED0" w:rsidP="00796808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AC4ED0" w:rsidRPr="00C469FB" w:rsidRDefault="00AC4ED0" w:rsidP="00796808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AC4ED0" w:rsidRPr="00C469FB" w:rsidRDefault="00AC4ED0" w:rsidP="00796808">
            <w:pPr>
              <w:rPr>
                <w:sz w:val="18"/>
              </w:rPr>
            </w:pPr>
          </w:p>
        </w:tc>
      </w:tr>
      <w:tr w:rsidR="00AC4ED0" w:rsidRPr="00C469FB" w:rsidTr="00796808">
        <w:tc>
          <w:tcPr>
            <w:tcW w:w="421" w:type="dxa"/>
          </w:tcPr>
          <w:p w:rsidR="00AC4ED0" w:rsidRDefault="00AC4ED0" w:rsidP="00796808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AC4ED0" w:rsidRPr="00FB69BA" w:rsidRDefault="00AC4ED0" w:rsidP="00796808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AC4ED0" w:rsidRPr="00C469FB" w:rsidRDefault="00AC4ED0" w:rsidP="00796808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AC4ED0" w:rsidRPr="00C469FB" w:rsidRDefault="00AC4ED0" w:rsidP="00796808">
            <w:pPr>
              <w:rPr>
                <w:sz w:val="18"/>
              </w:rPr>
            </w:pPr>
          </w:p>
        </w:tc>
      </w:tr>
      <w:tr w:rsidR="00AC4ED0" w:rsidRPr="00C469FB" w:rsidTr="00796808">
        <w:tc>
          <w:tcPr>
            <w:tcW w:w="421" w:type="dxa"/>
          </w:tcPr>
          <w:p w:rsidR="00AC4ED0" w:rsidRDefault="00AC4ED0" w:rsidP="00796808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AC4ED0" w:rsidRPr="00FB69BA" w:rsidRDefault="00AC4ED0" w:rsidP="00796808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AC4ED0" w:rsidRPr="00C469FB" w:rsidRDefault="00AC4ED0" w:rsidP="00796808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AC4ED0" w:rsidRPr="00C469FB" w:rsidRDefault="00AC4ED0" w:rsidP="00796808">
            <w:pPr>
              <w:rPr>
                <w:sz w:val="18"/>
              </w:rPr>
            </w:pPr>
          </w:p>
        </w:tc>
      </w:tr>
      <w:tr w:rsidR="00AC4ED0" w:rsidRPr="00C469FB" w:rsidTr="00796808">
        <w:tc>
          <w:tcPr>
            <w:tcW w:w="421" w:type="dxa"/>
          </w:tcPr>
          <w:p w:rsidR="00AC4ED0" w:rsidRDefault="00AC4ED0" w:rsidP="00796808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AC4ED0" w:rsidRPr="00DB79C5" w:rsidRDefault="00AC4ED0" w:rsidP="00796808">
            <w:pPr>
              <w:rPr>
                <w:b/>
                <w:color w:val="538135" w:themeColor="accent6" w:themeShade="BF"/>
                <w:sz w:val="18"/>
              </w:rPr>
            </w:pPr>
          </w:p>
        </w:tc>
        <w:tc>
          <w:tcPr>
            <w:tcW w:w="993" w:type="dxa"/>
          </w:tcPr>
          <w:p w:rsidR="00AC4ED0" w:rsidRPr="00C469FB" w:rsidRDefault="00AC4ED0" w:rsidP="00796808">
            <w:pPr>
              <w:rPr>
                <w:sz w:val="18"/>
              </w:rPr>
            </w:pPr>
          </w:p>
        </w:tc>
        <w:tc>
          <w:tcPr>
            <w:tcW w:w="3264" w:type="dxa"/>
          </w:tcPr>
          <w:p w:rsidR="00AC4ED0" w:rsidRPr="00C469FB" w:rsidRDefault="00AC4ED0" w:rsidP="00796808">
            <w:pPr>
              <w:rPr>
                <w:sz w:val="18"/>
              </w:rPr>
            </w:pPr>
          </w:p>
        </w:tc>
      </w:tr>
    </w:tbl>
    <w:p w:rsidR="00606D51" w:rsidRDefault="00AC4ED0" w:rsidP="00EA19F7">
      <w:pPr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B106D7" w:rsidRDefault="00C61568" w:rsidP="00EA19F7">
      <w:pPr>
        <w:rPr>
          <w:i/>
        </w:rPr>
      </w:pPr>
      <w:r w:rsidRPr="0055058B">
        <w:rPr>
          <w:i/>
        </w:rPr>
        <w:t>Wat betekenen de</w:t>
      </w:r>
      <w:r w:rsidR="00FB69BA" w:rsidRPr="0055058B">
        <w:rPr>
          <w:i/>
        </w:rPr>
        <w:t xml:space="preserve"> </w:t>
      </w:r>
      <w:r w:rsidRPr="0055058B">
        <w:rPr>
          <w:i/>
        </w:rPr>
        <w:t xml:space="preserve">uitkomsten </w:t>
      </w:r>
      <w:r w:rsidR="00FB69BA" w:rsidRPr="0055058B">
        <w:rPr>
          <w:i/>
        </w:rPr>
        <w:t xml:space="preserve">tot nu toe </w:t>
      </w:r>
      <w:r w:rsidRPr="0055058B">
        <w:rPr>
          <w:i/>
        </w:rPr>
        <w:t xml:space="preserve">voor de school? Voor het samenwerkingsverband? </w:t>
      </w:r>
      <w:r w:rsidR="00FB69BA" w:rsidRPr="0055058B">
        <w:rPr>
          <w:i/>
        </w:rPr>
        <w:br/>
        <w:t xml:space="preserve">Aan het eind van het document kunt u tot een samenvatting komen.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8B6" w:rsidTr="00A418B6">
        <w:tc>
          <w:tcPr>
            <w:tcW w:w="9062" w:type="dxa"/>
          </w:tcPr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  <w:p w:rsidR="00A418B6" w:rsidRDefault="00A418B6" w:rsidP="00EA19F7">
            <w:pPr>
              <w:rPr>
                <w:i/>
              </w:rPr>
            </w:pPr>
          </w:p>
        </w:tc>
      </w:tr>
    </w:tbl>
    <w:p w:rsidR="00B106D7" w:rsidRDefault="00B106D7" w:rsidP="00EA19F7">
      <w:pPr>
        <w:rPr>
          <w:i/>
        </w:rPr>
      </w:pPr>
    </w:p>
    <w:p w:rsidR="00B106D7" w:rsidRPr="005473FB" w:rsidRDefault="0055058B" w:rsidP="00EA19F7">
      <w:r w:rsidRPr="005473FB">
        <w:rPr>
          <w:b/>
          <w:color w:val="2F5496" w:themeColor="accent1" w:themeShade="BF"/>
          <w:sz w:val="26"/>
          <w:szCs w:val="26"/>
        </w:rPr>
        <w:lastRenderedPageBreak/>
        <w:t>C. Analyse kansen</w:t>
      </w:r>
      <w:r w:rsidR="00FB69BA" w:rsidRPr="005473FB">
        <w:rPr>
          <w:color w:val="2F5496" w:themeColor="accent1" w:themeShade="BF"/>
          <w:sz w:val="26"/>
          <w:szCs w:val="26"/>
        </w:rPr>
        <w:br/>
      </w:r>
      <w:r w:rsidR="00EC0AC0" w:rsidRPr="005473FB">
        <w:t xml:space="preserve">Op basis van informatie uit het werkveld en de trends binnen Passend </w:t>
      </w:r>
      <w:r w:rsidR="00C61568" w:rsidRPr="005473FB">
        <w:t>Onderwijs</w:t>
      </w:r>
      <w:r w:rsidR="00EC0AC0" w:rsidRPr="005473FB">
        <w:t xml:space="preserve"> hebben we een korte voorselectie gemaakt van kansen en bedreigingen die de scholen zelf (waar mogelijk) kunnen aanvullen. </w:t>
      </w:r>
    </w:p>
    <w:p w:rsidR="00185E72" w:rsidRPr="003B5603" w:rsidRDefault="00EA19F7" w:rsidP="00EA19F7">
      <w:r w:rsidRPr="008D3D0A">
        <w:rPr>
          <w:i/>
        </w:rPr>
        <w:t xml:space="preserve">Geef bij onderstaande </w:t>
      </w:r>
      <w:r>
        <w:rPr>
          <w:i/>
        </w:rPr>
        <w:t>Kansen en Bedreigingen</w:t>
      </w:r>
      <w:r w:rsidRPr="008D3D0A">
        <w:rPr>
          <w:i/>
        </w:rPr>
        <w:t xml:space="preserve"> aan </w:t>
      </w:r>
      <w:r>
        <w:rPr>
          <w:i/>
        </w:rPr>
        <w:t>hoe jullie dat ervaren</w:t>
      </w:r>
      <w:r w:rsidRPr="008D3D0A">
        <w:rPr>
          <w:i/>
        </w:rPr>
        <w:t>.</w:t>
      </w:r>
      <w:r w:rsidR="00185E72">
        <w:rPr>
          <w:i/>
        </w:rPr>
        <w:t xml:space="preserve"> Gebruik daarvoor de volgende ‘waarden’: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E72" w:rsidRPr="003B5603" w:rsidTr="00185E72">
        <w:tc>
          <w:tcPr>
            <w:tcW w:w="4531" w:type="dxa"/>
          </w:tcPr>
          <w:p w:rsidR="00185E72" w:rsidRPr="003B5603" w:rsidRDefault="00185E72" w:rsidP="00EA19F7">
            <w:pPr>
              <w:rPr>
                <w:b/>
              </w:rPr>
            </w:pPr>
            <w:r w:rsidRPr="003B5603">
              <w:rPr>
                <w:b/>
              </w:rPr>
              <w:t>Kansen</w:t>
            </w:r>
          </w:p>
        </w:tc>
        <w:tc>
          <w:tcPr>
            <w:tcW w:w="4531" w:type="dxa"/>
          </w:tcPr>
          <w:p w:rsidR="00185E72" w:rsidRPr="003B5603" w:rsidRDefault="00185E72" w:rsidP="00EA19F7">
            <w:pPr>
              <w:rPr>
                <w:b/>
              </w:rPr>
            </w:pPr>
            <w:r w:rsidRPr="003B5603">
              <w:rPr>
                <w:b/>
              </w:rPr>
              <w:t>Bedreigingen</w:t>
            </w:r>
          </w:p>
        </w:tc>
      </w:tr>
      <w:tr w:rsidR="00185E72" w:rsidRPr="003B5603" w:rsidTr="00185E72">
        <w:tc>
          <w:tcPr>
            <w:tcW w:w="4531" w:type="dxa"/>
          </w:tcPr>
          <w:p w:rsidR="00185E72" w:rsidRPr="003B5603" w:rsidRDefault="00EA4D21" w:rsidP="00EA19F7">
            <w:r>
              <w:t xml:space="preserve">1. </w:t>
            </w:r>
            <w:r w:rsidR="008C1E03">
              <w:t>Zien wij niet als kans</w:t>
            </w:r>
          </w:p>
        </w:tc>
        <w:tc>
          <w:tcPr>
            <w:tcW w:w="4531" w:type="dxa"/>
          </w:tcPr>
          <w:p w:rsidR="00185E72" w:rsidRPr="003B5603" w:rsidRDefault="003B5603" w:rsidP="003B5603">
            <w:pPr>
              <w:pStyle w:val="Lijstalinea"/>
              <w:numPr>
                <w:ilvl w:val="0"/>
                <w:numId w:val="4"/>
              </w:numPr>
            </w:pPr>
            <w:r w:rsidRPr="003B5603">
              <w:t>Speelt niet in onze situatie</w:t>
            </w:r>
          </w:p>
        </w:tc>
      </w:tr>
      <w:tr w:rsidR="00185E72" w:rsidRPr="003B5603" w:rsidTr="00185E72">
        <w:tc>
          <w:tcPr>
            <w:tcW w:w="4531" w:type="dxa"/>
          </w:tcPr>
          <w:p w:rsidR="00185E72" w:rsidRPr="003B5603" w:rsidRDefault="008C1E03" w:rsidP="00EA19F7">
            <w:r>
              <w:t>2. Zien wij in geringe mate als kans</w:t>
            </w:r>
          </w:p>
        </w:tc>
        <w:tc>
          <w:tcPr>
            <w:tcW w:w="4531" w:type="dxa"/>
          </w:tcPr>
          <w:p w:rsidR="00185E72" w:rsidRPr="003B5603" w:rsidRDefault="003B5603" w:rsidP="003B5603">
            <w:pPr>
              <w:pStyle w:val="Lijstalinea"/>
              <w:numPr>
                <w:ilvl w:val="0"/>
                <w:numId w:val="4"/>
              </w:numPr>
            </w:pPr>
            <w:r w:rsidRPr="003B5603">
              <w:t>Speelt in geringe mate in onze situatie</w:t>
            </w:r>
          </w:p>
        </w:tc>
      </w:tr>
      <w:tr w:rsidR="00185E72" w:rsidRPr="003B5603" w:rsidTr="00185E72">
        <w:tc>
          <w:tcPr>
            <w:tcW w:w="4531" w:type="dxa"/>
          </w:tcPr>
          <w:p w:rsidR="00185E72" w:rsidRPr="003B5603" w:rsidRDefault="008C1E03" w:rsidP="008C1E03">
            <w:r>
              <w:t>3.</w:t>
            </w:r>
            <w:r w:rsidR="005B1326">
              <w:t xml:space="preserve"> Zien wij als een aanzienlijke kans</w:t>
            </w:r>
          </w:p>
        </w:tc>
        <w:tc>
          <w:tcPr>
            <w:tcW w:w="4531" w:type="dxa"/>
          </w:tcPr>
          <w:p w:rsidR="00185E72" w:rsidRPr="003B5603" w:rsidRDefault="003B5603" w:rsidP="003B5603">
            <w:pPr>
              <w:pStyle w:val="Lijstalinea"/>
              <w:numPr>
                <w:ilvl w:val="0"/>
                <w:numId w:val="4"/>
              </w:numPr>
            </w:pPr>
            <w:r w:rsidRPr="003B5603">
              <w:t>Speelt aanzienlijk in onze situatie</w:t>
            </w:r>
          </w:p>
        </w:tc>
      </w:tr>
      <w:tr w:rsidR="00185E72" w:rsidRPr="003B5603" w:rsidTr="00185E72">
        <w:tc>
          <w:tcPr>
            <w:tcW w:w="4531" w:type="dxa"/>
          </w:tcPr>
          <w:p w:rsidR="00185E72" w:rsidRPr="003B5603" w:rsidRDefault="005B1326" w:rsidP="00EA19F7">
            <w:r>
              <w:t xml:space="preserve">4. </w:t>
            </w:r>
            <w:r w:rsidR="003B181E">
              <w:t>Zien wij heel sterk als kans</w:t>
            </w:r>
          </w:p>
        </w:tc>
        <w:tc>
          <w:tcPr>
            <w:tcW w:w="4531" w:type="dxa"/>
          </w:tcPr>
          <w:p w:rsidR="00185E72" w:rsidRPr="003B5603" w:rsidRDefault="003B5603" w:rsidP="003B5603">
            <w:pPr>
              <w:pStyle w:val="Lijstalinea"/>
              <w:numPr>
                <w:ilvl w:val="0"/>
                <w:numId w:val="4"/>
              </w:numPr>
            </w:pPr>
            <w:r w:rsidRPr="003B5603">
              <w:t>Speelt heel sterk in onze situatie</w:t>
            </w:r>
          </w:p>
        </w:tc>
      </w:tr>
    </w:tbl>
    <w:p w:rsidR="00EA19F7" w:rsidRPr="003B5603" w:rsidRDefault="00EA19F7" w:rsidP="00EA19F7">
      <w:pPr>
        <w:spacing w:after="0"/>
      </w:pPr>
    </w:p>
    <w:p w:rsidR="00EA19F7" w:rsidRDefault="00EA19F7" w:rsidP="00EA19F7">
      <w:pPr>
        <w:spacing w:after="0"/>
        <w:rPr>
          <w:i/>
        </w:rPr>
      </w:pPr>
      <w:r w:rsidRPr="007A19FE">
        <w:rPr>
          <w:i/>
        </w:rPr>
        <w:t>Geef waar je dat wilt een toelichting</w:t>
      </w:r>
    </w:p>
    <w:p w:rsidR="00EA19F7" w:rsidRDefault="00EA19F7" w:rsidP="0055058B">
      <w:pPr>
        <w:spacing w:after="0"/>
      </w:pPr>
      <w:r w:rsidRPr="007A19FE">
        <w:rPr>
          <w:i/>
        </w:rPr>
        <w:t>Je kunt ook items toevoegen, deze dan ook wegen</w:t>
      </w:r>
      <w:r w:rsidR="0055058B">
        <w:rPr>
          <w:i/>
        </w:rPr>
        <w:t xml:space="preserve"> a.u.b.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3260"/>
      </w:tblGrid>
      <w:tr w:rsidR="00647937" w:rsidRPr="00037F62" w:rsidTr="00FB69BA">
        <w:trPr>
          <w:trHeight w:val="816"/>
        </w:trPr>
        <w:tc>
          <w:tcPr>
            <w:tcW w:w="562" w:type="dxa"/>
            <w:shd w:val="clear" w:color="auto" w:fill="FFFFFF" w:themeFill="background1"/>
          </w:tcPr>
          <w:p w:rsidR="00647937" w:rsidRPr="00037F62" w:rsidRDefault="00647937" w:rsidP="003118AF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3B3838" w:themeFill="background2" w:themeFillShade="40"/>
          </w:tcPr>
          <w:p w:rsidR="00647937" w:rsidRPr="00037F62" w:rsidRDefault="00647937" w:rsidP="003118AF">
            <w:pPr>
              <w:jc w:val="center"/>
              <w:rPr>
                <w:b/>
                <w:sz w:val="24"/>
              </w:rPr>
            </w:pPr>
          </w:p>
          <w:p w:rsidR="00647937" w:rsidRPr="00037F62" w:rsidRDefault="00647937" w:rsidP="003118AF">
            <w:pPr>
              <w:jc w:val="center"/>
              <w:rPr>
                <w:b/>
              </w:rPr>
            </w:pPr>
            <w:r w:rsidRPr="00037F62">
              <w:rPr>
                <w:b/>
                <w:sz w:val="24"/>
              </w:rPr>
              <w:t>KANSEN</w:t>
            </w:r>
          </w:p>
        </w:tc>
        <w:tc>
          <w:tcPr>
            <w:tcW w:w="993" w:type="dxa"/>
          </w:tcPr>
          <w:p w:rsidR="00647937" w:rsidRPr="00037F62" w:rsidRDefault="00647937" w:rsidP="003118AF">
            <w:pPr>
              <w:jc w:val="center"/>
              <w:rPr>
                <w:b/>
              </w:rPr>
            </w:pPr>
          </w:p>
          <w:p w:rsidR="00647937" w:rsidRPr="00037F62" w:rsidRDefault="00647937" w:rsidP="003118AF">
            <w:pPr>
              <w:jc w:val="center"/>
              <w:rPr>
                <w:b/>
              </w:rPr>
            </w:pPr>
            <w:r w:rsidRPr="00037F62">
              <w:rPr>
                <w:b/>
              </w:rPr>
              <w:t>Weging</w:t>
            </w:r>
          </w:p>
          <w:p w:rsidR="00647937" w:rsidRPr="00037F62" w:rsidRDefault="00647937" w:rsidP="003118AF">
            <w:pPr>
              <w:rPr>
                <w:b/>
              </w:rPr>
            </w:pPr>
          </w:p>
        </w:tc>
        <w:tc>
          <w:tcPr>
            <w:tcW w:w="3260" w:type="dxa"/>
          </w:tcPr>
          <w:p w:rsidR="00647937" w:rsidRPr="00037F62" w:rsidRDefault="00647937" w:rsidP="003118AF">
            <w:pPr>
              <w:jc w:val="center"/>
              <w:rPr>
                <w:b/>
              </w:rPr>
            </w:pPr>
          </w:p>
          <w:p w:rsidR="00647937" w:rsidRPr="00037F62" w:rsidRDefault="00647937" w:rsidP="003118AF">
            <w:pPr>
              <w:jc w:val="center"/>
              <w:rPr>
                <w:b/>
              </w:rPr>
            </w:pPr>
            <w:r w:rsidRPr="00037F62">
              <w:rPr>
                <w:b/>
              </w:rPr>
              <w:t>Toelichting</w:t>
            </w:r>
          </w:p>
        </w:tc>
      </w:tr>
      <w:tr w:rsidR="00FB69BA" w:rsidRPr="00C469FB" w:rsidTr="00FB69BA">
        <w:tc>
          <w:tcPr>
            <w:tcW w:w="562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536" w:type="dxa"/>
          </w:tcPr>
          <w:p w:rsidR="00FB69BA" w:rsidRPr="00C61568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We willen op zoek naar een ander ‘systeem’ van onderwijs, we willen aanhaken bij experimenten binnen Berséba.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536" w:type="dxa"/>
          </w:tcPr>
          <w:p w:rsidR="00FB69BA" w:rsidRPr="00C61568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We moet</w:t>
            </w:r>
            <w:r w:rsidR="00544B39">
              <w:rPr>
                <w:sz w:val="18"/>
              </w:rPr>
              <w:t>en</w:t>
            </w:r>
            <w:r>
              <w:rPr>
                <w:sz w:val="18"/>
              </w:rPr>
              <w:t xml:space="preserve"> als school ons echt meer gaan richten op ‘hart en handen’ (naast het ‘hoofd’). Leerdruk moet eraf.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  <w:shd w:val="clear" w:color="auto" w:fill="D9D9D9" w:themeFill="background1" w:themeFillShade="D9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B69BA" w:rsidRPr="00C61568" w:rsidRDefault="00FB69BA" w:rsidP="00FB69BA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536" w:type="dxa"/>
          </w:tcPr>
          <w:p w:rsidR="00FB69BA" w:rsidRPr="00B4170A" w:rsidRDefault="00FB69BA" w:rsidP="00FB69BA">
            <w:pPr>
              <w:rPr>
                <w:color w:val="FF0000"/>
                <w:sz w:val="18"/>
              </w:rPr>
            </w:pPr>
            <w:r w:rsidRPr="00C61568">
              <w:rPr>
                <w:sz w:val="18"/>
              </w:rPr>
              <w:t xml:space="preserve">De school stimuleert het delen van opgedane kennis en ervaringen tussen medewerkers, waardoor er een professioneel leerklimaat (rond de extra ondersteuning ontstaat) en de basis wordt versterkt. 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536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Nauwere samenwerking (SAM of anders) met de opleidingen (MBO en HBO) is kansrijk, juist ook voor passend onderwijs.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4536" w:type="dxa"/>
          </w:tcPr>
          <w:p w:rsidR="00FB69BA" w:rsidRPr="00C469FB" w:rsidRDefault="00FB69BA" w:rsidP="00FB69BA">
            <w:pPr>
              <w:rPr>
                <w:sz w:val="18"/>
              </w:rPr>
            </w:pPr>
            <w:r w:rsidRPr="00C61568">
              <w:rPr>
                <w:sz w:val="18"/>
              </w:rPr>
              <w:t>Pedagogische onderwijsassistenten kunnen op onze school krachtiger worden ingezet, juist ook bij gedrag. (</w:t>
            </w:r>
            <w:hyperlink r:id="rId11" w:history="1">
              <w:r w:rsidRPr="00544B39">
                <w:rPr>
                  <w:rStyle w:val="Hyperlink"/>
                  <w:color w:val="2F5496" w:themeColor="accent1" w:themeShade="BF"/>
                  <w:sz w:val="18"/>
                </w:rPr>
                <w:t>AD opleiding</w:t>
              </w:r>
            </w:hyperlink>
            <w:r w:rsidRPr="00544B39">
              <w:rPr>
                <w:color w:val="2F5496" w:themeColor="accent1" w:themeShade="BF"/>
                <w:sz w:val="18"/>
              </w:rPr>
              <w:t xml:space="preserve">). 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4536" w:type="dxa"/>
          </w:tcPr>
          <w:p w:rsidR="00FB69BA" w:rsidRPr="00C61568" w:rsidRDefault="00FB69BA" w:rsidP="00FB69BA">
            <w:pPr>
              <w:rPr>
                <w:sz w:val="18"/>
              </w:rPr>
            </w:pPr>
            <w:r w:rsidRPr="00C61568">
              <w:rPr>
                <w:sz w:val="18"/>
              </w:rPr>
              <w:t xml:space="preserve">Door het SOP jaarlijks (waar nodig) te actualiseren </w:t>
            </w:r>
            <w:r>
              <w:rPr>
                <w:sz w:val="18"/>
              </w:rPr>
              <w:t>(samen</w:t>
            </w:r>
            <w:r w:rsidRPr="00C6156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met </w:t>
            </w:r>
            <w:r w:rsidRPr="00C61568">
              <w:rPr>
                <w:sz w:val="18"/>
              </w:rPr>
              <w:t>het team</w:t>
            </w:r>
            <w:r>
              <w:rPr>
                <w:sz w:val="18"/>
              </w:rPr>
              <w:t>)</w:t>
            </w:r>
            <w:r w:rsidRPr="00C61568">
              <w:rPr>
                <w:sz w:val="18"/>
              </w:rPr>
              <w:t xml:space="preserve"> kan bewuster en gerichter ingezet worden op de ontwikkeling van passend onderwijs. 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  <w:shd w:val="clear" w:color="auto" w:fill="D9D9D9" w:themeFill="background1" w:themeFillShade="D9"/>
          </w:tcPr>
          <w:p w:rsidR="00FB69BA" w:rsidRDefault="00FB69BA" w:rsidP="00FB69BA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B69BA" w:rsidRPr="00C61568" w:rsidRDefault="00FB69BA" w:rsidP="00FB69BA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69BA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4536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Wij willen elk kind weten te bereiken en een instrument als b.v. PCM (of een ander model) helpt ons dit beter doen. (</w:t>
            </w:r>
            <w:hyperlink r:id="rId12" w:history="1">
              <w:r w:rsidRPr="00933228">
                <w:rPr>
                  <w:rStyle w:val="Hyperlink"/>
                  <w:sz w:val="18"/>
                </w:rPr>
                <w:t>PCM</w:t>
              </w:r>
            </w:hyperlink>
            <w:r>
              <w:rPr>
                <w:sz w:val="18"/>
              </w:rPr>
              <w:t xml:space="preserve">). 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4536" w:type="dxa"/>
          </w:tcPr>
          <w:p w:rsidR="00FB69BA" w:rsidRDefault="00FB69BA" w:rsidP="00FB69BA">
            <w:pPr>
              <w:rPr>
                <w:sz w:val="18"/>
              </w:rPr>
            </w:pPr>
            <w:r w:rsidRPr="00C61568">
              <w:rPr>
                <w:sz w:val="18"/>
              </w:rPr>
              <w:t>Beter samenwerken (integrale benadering</w:t>
            </w:r>
            <w:r>
              <w:rPr>
                <w:sz w:val="18"/>
              </w:rPr>
              <w:t>, 1 kind 1 plan</w:t>
            </w:r>
            <w:r w:rsidRPr="00C61568">
              <w:rPr>
                <w:sz w:val="18"/>
              </w:rPr>
              <w:t xml:space="preserve">) met jeugdhulp biedt mogelijkheden voor leerlingen en ouders. Hier kunnen we winst behalen.  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Pr="00C469FB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4536" w:type="dxa"/>
          </w:tcPr>
          <w:p w:rsidR="00FB69BA" w:rsidRPr="00C61568" w:rsidRDefault="00FB69BA" w:rsidP="00FB69BA">
            <w:pPr>
              <w:rPr>
                <w:sz w:val="18"/>
              </w:rPr>
            </w:pPr>
            <w:r w:rsidRPr="00C61568">
              <w:rPr>
                <w:sz w:val="18"/>
              </w:rPr>
              <w:t xml:space="preserve">Een nauwere samenwerking met voorschoolse en voorzieningen en VO komt ten goede aan de onderwijsloopbaan van onze leerlingen. 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Default="00FB69BA" w:rsidP="00FB69BA">
            <w:pPr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4536" w:type="dxa"/>
          </w:tcPr>
          <w:p w:rsidR="00FB69BA" w:rsidRPr="00C61568" w:rsidRDefault="00FB69BA" w:rsidP="00FB69BA">
            <w:pPr>
              <w:rPr>
                <w:sz w:val="18"/>
              </w:rPr>
            </w:pPr>
            <w:r w:rsidRPr="00C61568">
              <w:rPr>
                <w:sz w:val="18"/>
              </w:rPr>
              <w:t xml:space="preserve">Een nauwere samenwerking met SO/SBO kan verwijzingen mogelijk voorkomen én biedt meer kansen voor terugplaatsingen. 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  <w:shd w:val="clear" w:color="auto" w:fill="D9D9D9" w:themeFill="background1" w:themeFillShade="D9"/>
          </w:tcPr>
          <w:p w:rsidR="00FB69BA" w:rsidRDefault="00FB69BA" w:rsidP="00FB69BA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B69BA" w:rsidRDefault="00FB69BA" w:rsidP="00FB69BA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Default="00FB69BA" w:rsidP="00FB69BA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FB69BA" w:rsidRDefault="00FB69BA" w:rsidP="00FB69BA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School eigen kansen…. </w:t>
            </w: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  <w:tr w:rsidR="00FB69BA" w:rsidRPr="00C469FB" w:rsidTr="00FB69BA">
        <w:tc>
          <w:tcPr>
            <w:tcW w:w="562" w:type="dxa"/>
          </w:tcPr>
          <w:p w:rsidR="00FB69BA" w:rsidRDefault="00FB69BA" w:rsidP="00FB69BA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FB69BA" w:rsidRDefault="00FB69BA" w:rsidP="00FB69BA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FB69BA" w:rsidRPr="00C469FB" w:rsidRDefault="00FB69BA" w:rsidP="00FB69BA">
            <w:pPr>
              <w:rPr>
                <w:sz w:val="18"/>
              </w:rPr>
            </w:pPr>
          </w:p>
        </w:tc>
      </w:tr>
    </w:tbl>
    <w:p w:rsidR="0055058B" w:rsidRDefault="0055058B" w:rsidP="00C469FB">
      <w:pPr>
        <w:rPr>
          <w:color w:val="8EAADB" w:themeColor="accent1" w:themeTint="99"/>
          <w:sz w:val="28"/>
          <w:szCs w:val="28"/>
        </w:rPr>
      </w:pPr>
      <w:r>
        <w:rPr>
          <w:color w:val="8EAADB" w:themeColor="accent1" w:themeTint="99"/>
          <w:sz w:val="28"/>
          <w:szCs w:val="28"/>
        </w:rPr>
        <w:br/>
      </w:r>
    </w:p>
    <w:p w:rsidR="0055058B" w:rsidRPr="005473FB" w:rsidRDefault="0055058B" w:rsidP="00C469FB">
      <w:pPr>
        <w:rPr>
          <w:color w:val="8EAADB" w:themeColor="accent1" w:themeTint="99"/>
          <w:sz w:val="26"/>
          <w:szCs w:val="26"/>
        </w:rPr>
      </w:pPr>
      <w:r w:rsidRPr="005473FB">
        <w:rPr>
          <w:b/>
          <w:color w:val="2F5496" w:themeColor="accent1" w:themeShade="BF"/>
          <w:sz w:val="26"/>
          <w:szCs w:val="26"/>
        </w:rPr>
        <w:lastRenderedPageBreak/>
        <w:t>D. Analyse bedreigingen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3260"/>
      </w:tblGrid>
      <w:tr w:rsidR="0055058B" w:rsidRPr="00AE45A4" w:rsidTr="00BC6BA6">
        <w:trPr>
          <w:trHeight w:val="830"/>
        </w:trPr>
        <w:tc>
          <w:tcPr>
            <w:tcW w:w="562" w:type="dxa"/>
            <w:shd w:val="clear" w:color="auto" w:fill="3B3838" w:themeFill="background2" w:themeFillShade="40"/>
          </w:tcPr>
          <w:p w:rsidR="0055058B" w:rsidRPr="00AE45A4" w:rsidRDefault="0055058B" w:rsidP="00BC6BA6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3B3838" w:themeFill="background2" w:themeFillShade="40"/>
          </w:tcPr>
          <w:p w:rsidR="0055058B" w:rsidRDefault="0055058B" w:rsidP="00BC6BA6">
            <w:pPr>
              <w:jc w:val="center"/>
              <w:rPr>
                <w:b/>
              </w:rPr>
            </w:pPr>
          </w:p>
          <w:p w:rsidR="0055058B" w:rsidRPr="00B82F09" w:rsidRDefault="0055058B" w:rsidP="00BC6BA6">
            <w:pPr>
              <w:jc w:val="center"/>
              <w:rPr>
                <w:b/>
                <w:sz w:val="24"/>
              </w:rPr>
            </w:pPr>
            <w:r w:rsidRPr="00B82F09">
              <w:rPr>
                <w:b/>
                <w:sz w:val="24"/>
              </w:rPr>
              <w:t>BEDREIGINGEN</w:t>
            </w:r>
          </w:p>
          <w:p w:rsidR="0055058B" w:rsidRPr="00AE45A4" w:rsidRDefault="0055058B" w:rsidP="00BC6BA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5058B" w:rsidRDefault="0055058B" w:rsidP="00BC6BA6">
            <w:pPr>
              <w:jc w:val="center"/>
              <w:rPr>
                <w:b/>
              </w:rPr>
            </w:pPr>
          </w:p>
          <w:p w:rsidR="0055058B" w:rsidRPr="00AE45A4" w:rsidRDefault="0055058B" w:rsidP="00BC6BA6">
            <w:pPr>
              <w:jc w:val="center"/>
              <w:rPr>
                <w:b/>
              </w:rPr>
            </w:pPr>
            <w:r w:rsidRPr="00AE45A4">
              <w:rPr>
                <w:b/>
              </w:rPr>
              <w:t>Weging</w:t>
            </w:r>
          </w:p>
        </w:tc>
        <w:tc>
          <w:tcPr>
            <w:tcW w:w="3260" w:type="dxa"/>
          </w:tcPr>
          <w:p w:rsidR="0055058B" w:rsidRDefault="0055058B" w:rsidP="00BC6BA6">
            <w:pPr>
              <w:rPr>
                <w:b/>
              </w:rPr>
            </w:pPr>
          </w:p>
          <w:p w:rsidR="0055058B" w:rsidRPr="00AE45A4" w:rsidRDefault="0055058B" w:rsidP="00BC6BA6">
            <w:pPr>
              <w:jc w:val="center"/>
              <w:rPr>
                <w:b/>
              </w:rPr>
            </w:pPr>
            <w:r w:rsidRPr="00AE45A4">
              <w:rPr>
                <w:b/>
              </w:rPr>
              <w:t>Toelichting</w:t>
            </w:r>
          </w:p>
        </w:tc>
      </w:tr>
      <w:tr w:rsidR="0055058B" w:rsidRPr="00C469FB" w:rsidTr="00BC6BA6">
        <w:tc>
          <w:tcPr>
            <w:tcW w:w="562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De personeelsschaarste belemmert ons om de kwaliteit van ons onderwijs en van onze leerling</w:t>
            </w:r>
            <w:r w:rsidR="00544B39">
              <w:rPr>
                <w:sz w:val="18"/>
              </w:rPr>
              <w:t>ondersteuning</w:t>
            </w:r>
            <w:r>
              <w:rPr>
                <w:sz w:val="18"/>
              </w:rPr>
              <w:t xml:space="preserve"> op peil te houden</w:t>
            </w:r>
            <w:r w:rsidR="00544B39">
              <w:rPr>
                <w:sz w:val="18"/>
              </w:rPr>
              <w:t>.</w:t>
            </w: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  <w:shd w:val="clear" w:color="auto" w:fill="D9D9D9" w:themeFill="background1" w:themeFillShade="D9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5058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Het aantal leerlingen in het risicogebied neemt toe.</w:t>
            </w:r>
          </w:p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4536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We zien dat moeilijk verstaanbaar gedrag toeneemt (in aantallen en/of in zwaarte)</w:t>
            </w:r>
            <w:r w:rsidR="00544B39">
              <w:rPr>
                <w:sz w:val="18"/>
              </w:rPr>
              <w:t>.</w:t>
            </w:r>
            <w:r w:rsidRPr="00C469FB">
              <w:rPr>
                <w:sz w:val="18"/>
              </w:rPr>
              <w:t xml:space="preserve"> </w:t>
            </w: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We zien dat door toename van moeilijk verstaanbaar gedrag de groepsdynamiek moeilijker hanteerbaar wordt</w:t>
            </w:r>
            <w:r w:rsidR="00544B39">
              <w:rPr>
                <w:sz w:val="18"/>
              </w:rPr>
              <w:t>.</w:t>
            </w: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4536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We zien een toename aan opvoedingsverlegenheid bij ouders.</w:t>
            </w: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Het vertrouwen van ouders in de school neemt af</w:t>
            </w:r>
            <w:r w:rsidR="00544B39">
              <w:rPr>
                <w:sz w:val="18"/>
              </w:rPr>
              <w:t>.</w:t>
            </w:r>
          </w:p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 xml:space="preserve">De inrichting van onze school is niet geschikte om ons onderwijs passend(er) te maken. </w:t>
            </w: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4536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 xml:space="preserve">De diverse overlegvormen rondom de ondersteuning aan leerlingen neemt relatief een te groot deel van onze ondersteuningsuren in beslag. </w:t>
            </w: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  <w:shd w:val="clear" w:color="auto" w:fill="D9D9D9" w:themeFill="background1" w:themeFillShade="D9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5058B" w:rsidRPr="006B6969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5058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Pr="00C469FB" w:rsidRDefault="0055058B" w:rsidP="00BC6BA6">
            <w:pPr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4536" w:type="dxa"/>
          </w:tcPr>
          <w:p w:rsidR="0055058B" w:rsidRPr="00C469FB" w:rsidRDefault="0055058B" w:rsidP="00BC6BA6">
            <w:pPr>
              <w:rPr>
                <w:sz w:val="18"/>
              </w:rPr>
            </w:pPr>
            <w:r w:rsidRPr="006B6969">
              <w:rPr>
                <w:sz w:val="18"/>
              </w:rPr>
              <w:t>De eindresultaten van onze school staan onder druk, dit remt</w:t>
            </w:r>
            <w:r>
              <w:rPr>
                <w:sz w:val="18"/>
              </w:rPr>
              <w:t xml:space="preserve"> ons om verder te ontwikkelen</w:t>
            </w:r>
            <w:r w:rsidRPr="006B6969">
              <w:rPr>
                <w:sz w:val="18"/>
              </w:rPr>
              <w:t xml:space="preserve"> richting meer inclusief onderwijs. </w:t>
            </w: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  <w:shd w:val="clear" w:color="auto" w:fill="D9D9D9" w:themeFill="background1" w:themeFillShade="D9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5058B" w:rsidRDefault="0055058B" w:rsidP="00BC6BA6">
            <w:pPr>
              <w:rPr>
                <w:i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55058B" w:rsidRPr="00C61568" w:rsidRDefault="0055058B" w:rsidP="00BC6BA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School eigen bedreigingen</w:t>
            </w:r>
          </w:p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</w:p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  <w:tr w:rsidR="0055058B" w:rsidRPr="00C469FB" w:rsidTr="00BC6BA6">
        <w:tc>
          <w:tcPr>
            <w:tcW w:w="562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55058B" w:rsidRDefault="0055058B" w:rsidP="00BC6B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5058B" w:rsidRPr="00C469FB" w:rsidRDefault="0055058B" w:rsidP="00BC6BA6">
            <w:pPr>
              <w:rPr>
                <w:sz w:val="18"/>
              </w:rPr>
            </w:pPr>
          </w:p>
        </w:tc>
      </w:tr>
    </w:tbl>
    <w:p w:rsidR="0055058B" w:rsidRDefault="0055058B" w:rsidP="0055058B">
      <w:pPr>
        <w:rPr>
          <w:color w:val="FF0000"/>
          <w:sz w:val="28"/>
          <w:szCs w:val="28"/>
        </w:rPr>
      </w:pPr>
    </w:p>
    <w:p w:rsidR="0055058B" w:rsidRDefault="0055058B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color w:val="8EAADB" w:themeColor="accent1" w:themeTint="99"/>
          <w:sz w:val="28"/>
          <w:szCs w:val="28"/>
        </w:rPr>
      </w:pPr>
    </w:p>
    <w:p w:rsidR="00606D51" w:rsidRDefault="00606D51" w:rsidP="00C469FB">
      <w:pPr>
        <w:rPr>
          <w:b/>
          <w:color w:val="2F5496" w:themeColor="accent1" w:themeShade="BF"/>
          <w:sz w:val="26"/>
          <w:szCs w:val="26"/>
        </w:rPr>
      </w:pPr>
      <w:r>
        <w:rPr>
          <w:b/>
          <w:color w:val="2F5496" w:themeColor="accent1" w:themeShade="BF"/>
          <w:sz w:val="26"/>
          <w:szCs w:val="26"/>
          <w:shd w:val="clear" w:color="auto" w:fill="FFFFFF" w:themeFill="background1"/>
        </w:rPr>
        <w:lastRenderedPageBreak/>
        <w:t>E</w:t>
      </w:r>
      <w:r w:rsidR="0055058B" w:rsidRPr="005473FB">
        <w:rPr>
          <w:b/>
          <w:color w:val="2F5496" w:themeColor="accent1" w:themeShade="BF"/>
          <w:sz w:val="26"/>
          <w:szCs w:val="26"/>
          <w:shd w:val="clear" w:color="auto" w:fill="FFFFFF" w:themeFill="background1"/>
        </w:rPr>
        <w:t xml:space="preserve">. </w:t>
      </w:r>
      <w:r w:rsidR="00FB69BA" w:rsidRPr="005473FB">
        <w:rPr>
          <w:b/>
          <w:color w:val="2F5496" w:themeColor="accent1" w:themeShade="BF"/>
          <w:sz w:val="26"/>
          <w:szCs w:val="26"/>
          <w:shd w:val="clear" w:color="auto" w:fill="FFFFFF" w:themeFill="background1"/>
        </w:rPr>
        <w:t>Samenvatting op basis van de 3 onderdelen</w:t>
      </w:r>
      <w:r w:rsidR="00B106D7" w:rsidRPr="005473FB">
        <w:rPr>
          <w:b/>
          <w:color w:val="2F5496" w:themeColor="accent1" w:themeShade="BF"/>
          <w:sz w:val="26"/>
          <w:szCs w:val="26"/>
          <w:shd w:val="clear" w:color="auto" w:fill="FFFFFF" w:themeFill="background1"/>
        </w:rPr>
        <w:t>:</w:t>
      </w:r>
      <w:r w:rsidR="00B106D7" w:rsidRPr="005473FB">
        <w:rPr>
          <w:b/>
          <w:color w:val="2F5496" w:themeColor="accent1" w:themeShade="BF"/>
          <w:sz w:val="26"/>
          <w:szCs w:val="2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D51" w:rsidTr="00606D51">
        <w:tc>
          <w:tcPr>
            <w:tcW w:w="9062" w:type="dxa"/>
          </w:tcPr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  <w:r>
              <w:t>1. Welke kernpunten haalt het MT/IB uit deze analyse én willen ze meenemen in het teamgesprek (mogelijk met externe ondersteuning)?</w:t>
            </w:r>
          </w:p>
        </w:tc>
      </w:tr>
      <w:tr w:rsidR="00606D51" w:rsidTr="00606D51">
        <w:tc>
          <w:tcPr>
            <w:tcW w:w="9062" w:type="dxa"/>
          </w:tcPr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</w:tc>
      </w:tr>
      <w:tr w:rsidR="00606D51" w:rsidTr="00606D51">
        <w:tc>
          <w:tcPr>
            <w:tcW w:w="9062" w:type="dxa"/>
          </w:tcPr>
          <w:p w:rsidR="00606D51" w:rsidRPr="00606D51" w:rsidRDefault="00606D51" w:rsidP="00C469FB">
            <w:r>
              <w:t>Op basis van het teamgesprek:</w:t>
            </w:r>
            <w:r>
              <w:br/>
              <w:t xml:space="preserve">2. Wat betekenen de uitkomsten van het SWOT voor onze school? SOP / schoolplan. </w:t>
            </w:r>
          </w:p>
        </w:tc>
      </w:tr>
      <w:tr w:rsidR="00606D51" w:rsidTr="00606D51">
        <w:tc>
          <w:tcPr>
            <w:tcW w:w="9062" w:type="dxa"/>
          </w:tcPr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</w:tc>
      </w:tr>
      <w:tr w:rsidR="00606D51" w:rsidTr="00606D51">
        <w:tc>
          <w:tcPr>
            <w:tcW w:w="9062" w:type="dxa"/>
          </w:tcPr>
          <w:p w:rsidR="00606D51" w:rsidRPr="00606D51" w:rsidRDefault="00606D51" w:rsidP="00C469FB">
            <w:r>
              <w:t>3. Wat betekenen jullie uitkomsten voor het samenwerkingsverband!?</w:t>
            </w:r>
          </w:p>
        </w:tc>
      </w:tr>
      <w:tr w:rsidR="00606D51" w:rsidTr="00606D51">
        <w:tc>
          <w:tcPr>
            <w:tcW w:w="9062" w:type="dxa"/>
          </w:tcPr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  <w:p w:rsidR="00606D51" w:rsidRDefault="00606D51" w:rsidP="00C469FB">
            <w:pPr>
              <w:rPr>
                <w:b/>
                <w:color w:val="2F5496" w:themeColor="accent1" w:themeShade="BF"/>
                <w:sz w:val="26"/>
                <w:szCs w:val="26"/>
              </w:rPr>
            </w:pPr>
          </w:p>
        </w:tc>
      </w:tr>
    </w:tbl>
    <w:p w:rsidR="00606D51" w:rsidRDefault="00606D51" w:rsidP="00C469FB">
      <w:pPr>
        <w:rPr>
          <w:b/>
          <w:color w:val="2F5496" w:themeColor="accent1" w:themeShade="BF"/>
          <w:sz w:val="26"/>
          <w:szCs w:val="26"/>
        </w:rPr>
      </w:pPr>
    </w:p>
    <w:p w:rsidR="00605E4A" w:rsidRPr="005473FB" w:rsidRDefault="00B106D7" w:rsidP="00C469FB">
      <w:pPr>
        <w:rPr>
          <w:b/>
          <w:color w:val="8EAADB" w:themeColor="accent1" w:themeTint="99"/>
          <w:sz w:val="26"/>
          <w:szCs w:val="26"/>
        </w:rPr>
      </w:pPr>
      <w:r w:rsidRPr="005473FB">
        <w:rPr>
          <w:b/>
          <w:color w:val="8EAADB" w:themeColor="accent1" w:themeTint="99"/>
          <w:sz w:val="26"/>
          <w:szCs w:val="26"/>
        </w:rPr>
        <w:br/>
      </w:r>
    </w:p>
    <w:sectPr w:rsidR="00605E4A" w:rsidRPr="005473FB" w:rsidSect="002D23F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FE" w:rsidRDefault="008D43FE" w:rsidP="002D23FC">
      <w:pPr>
        <w:spacing w:after="0" w:line="240" w:lineRule="auto"/>
      </w:pPr>
      <w:r>
        <w:separator/>
      </w:r>
    </w:p>
  </w:endnote>
  <w:endnote w:type="continuationSeparator" w:id="0">
    <w:p w:rsidR="008D43FE" w:rsidRDefault="008D43FE" w:rsidP="002D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D7" w:rsidRDefault="00B106D7">
    <w:pPr>
      <w:pStyle w:val="Voettekst"/>
    </w:pPr>
    <w:r>
      <w:t xml:space="preserve">SWOT Passend Onderwijs / </w:t>
    </w:r>
    <w:r w:rsidR="001A61B6">
      <w:t xml:space="preserve">SOP </w:t>
    </w:r>
    <w:r w:rsidR="0085500F">
      <w:t>i.r.t. schoolplan 2019 – 2023</w:t>
    </w:r>
    <w:r>
      <w:t xml:space="preserve">                                                             </w:t>
    </w:r>
    <w:sdt>
      <w:sdtPr>
        <w:id w:val="16402246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3D84">
          <w:rPr>
            <w:noProof/>
          </w:rPr>
          <w:t>1</w:t>
        </w:r>
        <w:r>
          <w:fldChar w:fldCharType="end"/>
        </w:r>
      </w:sdtContent>
    </w:sdt>
  </w:p>
  <w:p w:rsidR="003C1ADA" w:rsidRDefault="003C1A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FE" w:rsidRDefault="008D43FE" w:rsidP="002D23FC">
      <w:pPr>
        <w:spacing w:after="0" w:line="240" w:lineRule="auto"/>
      </w:pPr>
      <w:r>
        <w:separator/>
      </w:r>
    </w:p>
  </w:footnote>
  <w:footnote w:type="continuationSeparator" w:id="0">
    <w:p w:rsidR="008D43FE" w:rsidRDefault="008D43FE" w:rsidP="002D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FE6"/>
    <w:multiLevelType w:val="hybridMultilevel"/>
    <w:tmpl w:val="67C2FA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A88"/>
    <w:multiLevelType w:val="hybridMultilevel"/>
    <w:tmpl w:val="C2664A7E"/>
    <w:lvl w:ilvl="0" w:tplc="11B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E34CA"/>
    <w:multiLevelType w:val="hybridMultilevel"/>
    <w:tmpl w:val="955C52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959B2"/>
    <w:multiLevelType w:val="hybridMultilevel"/>
    <w:tmpl w:val="8E9A2D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53AD7"/>
    <w:multiLevelType w:val="hybridMultilevel"/>
    <w:tmpl w:val="C2664A7E"/>
    <w:lvl w:ilvl="0" w:tplc="11B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FB"/>
    <w:rsid w:val="00037F62"/>
    <w:rsid w:val="00052109"/>
    <w:rsid w:val="00064C9C"/>
    <w:rsid w:val="00072403"/>
    <w:rsid w:val="00081C45"/>
    <w:rsid w:val="000B40F5"/>
    <w:rsid w:val="000C6627"/>
    <w:rsid w:val="00100233"/>
    <w:rsid w:val="00156FB4"/>
    <w:rsid w:val="001613D8"/>
    <w:rsid w:val="00167A35"/>
    <w:rsid w:val="00171D2D"/>
    <w:rsid w:val="0017547C"/>
    <w:rsid w:val="00185894"/>
    <w:rsid w:val="00185E72"/>
    <w:rsid w:val="001969E8"/>
    <w:rsid w:val="001A3B36"/>
    <w:rsid w:val="001A61B6"/>
    <w:rsid w:val="001C3116"/>
    <w:rsid w:val="001C4A07"/>
    <w:rsid w:val="001D1B49"/>
    <w:rsid w:val="001D4A91"/>
    <w:rsid w:val="001D7C2D"/>
    <w:rsid w:val="001D7F73"/>
    <w:rsid w:val="001E3D84"/>
    <w:rsid w:val="001F1601"/>
    <w:rsid w:val="00214DFD"/>
    <w:rsid w:val="0025377B"/>
    <w:rsid w:val="0026664B"/>
    <w:rsid w:val="0027285B"/>
    <w:rsid w:val="00280C07"/>
    <w:rsid w:val="002D23FC"/>
    <w:rsid w:val="002E1CE5"/>
    <w:rsid w:val="002E2EF7"/>
    <w:rsid w:val="00304110"/>
    <w:rsid w:val="00315BE4"/>
    <w:rsid w:val="0034467D"/>
    <w:rsid w:val="003574E4"/>
    <w:rsid w:val="00382E4A"/>
    <w:rsid w:val="00396141"/>
    <w:rsid w:val="003A3069"/>
    <w:rsid w:val="003B181E"/>
    <w:rsid w:val="003B5603"/>
    <w:rsid w:val="003C1ADA"/>
    <w:rsid w:val="003F5467"/>
    <w:rsid w:val="003F5570"/>
    <w:rsid w:val="00430CD9"/>
    <w:rsid w:val="00452FC6"/>
    <w:rsid w:val="00465D36"/>
    <w:rsid w:val="00467950"/>
    <w:rsid w:val="00484100"/>
    <w:rsid w:val="00495347"/>
    <w:rsid w:val="004A1D39"/>
    <w:rsid w:val="004B4D06"/>
    <w:rsid w:val="00522E21"/>
    <w:rsid w:val="00535F01"/>
    <w:rsid w:val="00541026"/>
    <w:rsid w:val="00542FF2"/>
    <w:rsid w:val="00544B39"/>
    <w:rsid w:val="005473FB"/>
    <w:rsid w:val="0055058B"/>
    <w:rsid w:val="00560CF4"/>
    <w:rsid w:val="00561208"/>
    <w:rsid w:val="0057355D"/>
    <w:rsid w:val="005B06E0"/>
    <w:rsid w:val="005B1326"/>
    <w:rsid w:val="005D3ADC"/>
    <w:rsid w:val="00605E4A"/>
    <w:rsid w:val="00606D51"/>
    <w:rsid w:val="00624B31"/>
    <w:rsid w:val="006405C2"/>
    <w:rsid w:val="00647937"/>
    <w:rsid w:val="00666831"/>
    <w:rsid w:val="00682902"/>
    <w:rsid w:val="00685F3A"/>
    <w:rsid w:val="00690C57"/>
    <w:rsid w:val="006A6899"/>
    <w:rsid w:val="006B40B4"/>
    <w:rsid w:val="006B6969"/>
    <w:rsid w:val="006C7C7A"/>
    <w:rsid w:val="00703423"/>
    <w:rsid w:val="00703E82"/>
    <w:rsid w:val="007114E6"/>
    <w:rsid w:val="007149B0"/>
    <w:rsid w:val="007161A8"/>
    <w:rsid w:val="007376A5"/>
    <w:rsid w:val="00742BDF"/>
    <w:rsid w:val="007774E1"/>
    <w:rsid w:val="00793BF0"/>
    <w:rsid w:val="007A19FE"/>
    <w:rsid w:val="007A6B83"/>
    <w:rsid w:val="007D188D"/>
    <w:rsid w:val="007E2E1B"/>
    <w:rsid w:val="007E358E"/>
    <w:rsid w:val="007E5278"/>
    <w:rsid w:val="007F55CF"/>
    <w:rsid w:val="008110C3"/>
    <w:rsid w:val="00826C6E"/>
    <w:rsid w:val="00826F1C"/>
    <w:rsid w:val="0084482C"/>
    <w:rsid w:val="00846151"/>
    <w:rsid w:val="0085500F"/>
    <w:rsid w:val="0086340D"/>
    <w:rsid w:val="008775D1"/>
    <w:rsid w:val="008A6816"/>
    <w:rsid w:val="008A6FB4"/>
    <w:rsid w:val="008B1D91"/>
    <w:rsid w:val="008C1E03"/>
    <w:rsid w:val="008D32FD"/>
    <w:rsid w:val="008D3D0A"/>
    <w:rsid w:val="008D43FE"/>
    <w:rsid w:val="008D5C17"/>
    <w:rsid w:val="008E239E"/>
    <w:rsid w:val="008E5968"/>
    <w:rsid w:val="008E69DA"/>
    <w:rsid w:val="008F7962"/>
    <w:rsid w:val="00924503"/>
    <w:rsid w:val="00926686"/>
    <w:rsid w:val="00933228"/>
    <w:rsid w:val="00993514"/>
    <w:rsid w:val="00994E8E"/>
    <w:rsid w:val="009B0F14"/>
    <w:rsid w:val="009B3197"/>
    <w:rsid w:val="009C1192"/>
    <w:rsid w:val="009E432B"/>
    <w:rsid w:val="009E58D3"/>
    <w:rsid w:val="00A00AF6"/>
    <w:rsid w:val="00A23BC9"/>
    <w:rsid w:val="00A24951"/>
    <w:rsid w:val="00A40CCF"/>
    <w:rsid w:val="00A418B6"/>
    <w:rsid w:val="00A62C92"/>
    <w:rsid w:val="00A67A3E"/>
    <w:rsid w:val="00A85992"/>
    <w:rsid w:val="00AA1A0C"/>
    <w:rsid w:val="00AB04D7"/>
    <w:rsid w:val="00AB6F4A"/>
    <w:rsid w:val="00AC4ED0"/>
    <w:rsid w:val="00AE066E"/>
    <w:rsid w:val="00AE45A4"/>
    <w:rsid w:val="00AF31FB"/>
    <w:rsid w:val="00AF4E50"/>
    <w:rsid w:val="00B106D7"/>
    <w:rsid w:val="00B12ECE"/>
    <w:rsid w:val="00B33B3F"/>
    <w:rsid w:val="00B4170A"/>
    <w:rsid w:val="00B519DD"/>
    <w:rsid w:val="00B82F09"/>
    <w:rsid w:val="00B94FF2"/>
    <w:rsid w:val="00BB4BA4"/>
    <w:rsid w:val="00BC06DC"/>
    <w:rsid w:val="00BD473E"/>
    <w:rsid w:val="00BF1A71"/>
    <w:rsid w:val="00BF706E"/>
    <w:rsid w:val="00C24A6B"/>
    <w:rsid w:val="00C27814"/>
    <w:rsid w:val="00C43B4C"/>
    <w:rsid w:val="00C469FB"/>
    <w:rsid w:val="00C47291"/>
    <w:rsid w:val="00C562DF"/>
    <w:rsid w:val="00C61568"/>
    <w:rsid w:val="00C84D0A"/>
    <w:rsid w:val="00CC0D42"/>
    <w:rsid w:val="00CC2DE0"/>
    <w:rsid w:val="00CC3B58"/>
    <w:rsid w:val="00CF51A2"/>
    <w:rsid w:val="00CF7EA0"/>
    <w:rsid w:val="00D2540B"/>
    <w:rsid w:val="00D36460"/>
    <w:rsid w:val="00D54511"/>
    <w:rsid w:val="00D60284"/>
    <w:rsid w:val="00D60F2D"/>
    <w:rsid w:val="00D76EDA"/>
    <w:rsid w:val="00D833A7"/>
    <w:rsid w:val="00D87D2F"/>
    <w:rsid w:val="00DB3252"/>
    <w:rsid w:val="00DB79C5"/>
    <w:rsid w:val="00DB7C71"/>
    <w:rsid w:val="00DD0537"/>
    <w:rsid w:val="00E01F13"/>
    <w:rsid w:val="00E1043E"/>
    <w:rsid w:val="00E25D1F"/>
    <w:rsid w:val="00E314DD"/>
    <w:rsid w:val="00E43FBD"/>
    <w:rsid w:val="00E530B1"/>
    <w:rsid w:val="00E551DE"/>
    <w:rsid w:val="00E83508"/>
    <w:rsid w:val="00EA19F7"/>
    <w:rsid w:val="00EA4D21"/>
    <w:rsid w:val="00EB2EEE"/>
    <w:rsid w:val="00EB4370"/>
    <w:rsid w:val="00EB66BA"/>
    <w:rsid w:val="00EC0AC0"/>
    <w:rsid w:val="00EC1116"/>
    <w:rsid w:val="00ED0B3C"/>
    <w:rsid w:val="00ED5FFD"/>
    <w:rsid w:val="00ED7557"/>
    <w:rsid w:val="00F078B5"/>
    <w:rsid w:val="00F107F9"/>
    <w:rsid w:val="00F24344"/>
    <w:rsid w:val="00F25410"/>
    <w:rsid w:val="00F32A44"/>
    <w:rsid w:val="00F37EFA"/>
    <w:rsid w:val="00F45ED0"/>
    <w:rsid w:val="00F548A4"/>
    <w:rsid w:val="00FB40DA"/>
    <w:rsid w:val="00FB479E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17E4-97FA-4B82-925C-A768DB9B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69F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6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69F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4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9FB"/>
  </w:style>
  <w:style w:type="paragraph" w:styleId="Koptekst">
    <w:name w:val="header"/>
    <w:basedOn w:val="Standaard"/>
    <w:link w:val="KoptekstChar"/>
    <w:uiPriority w:val="99"/>
    <w:unhideWhenUsed/>
    <w:rsid w:val="002D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23FC"/>
  </w:style>
  <w:style w:type="character" w:customStyle="1" w:styleId="Kop2Char">
    <w:name w:val="Kop 2 Char"/>
    <w:basedOn w:val="Standaardalinea-lettertype"/>
    <w:link w:val="Kop2"/>
    <w:uiPriority w:val="9"/>
    <w:rsid w:val="00826F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D0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3322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66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66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66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66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6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cesscommunication.nl/process-communication/process-communication-het-onderwij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iestar-educatief.nl/studeren/onze-opleidingen/hbo-opleidingen/ad-opleiding-pedagogisch-professional-kind-en-edu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DC9FD82BA2042A969FAD7572107DD" ma:contentTypeVersion="9" ma:contentTypeDescription="Een nieuw document maken." ma:contentTypeScope="" ma:versionID="179d03208b6db2bf442966c8eabde9d4">
  <xsd:schema xmlns:xsd="http://www.w3.org/2001/XMLSchema" xmlns:xs="http://www.w3.org/2001/XMLSchema" xmlns:p="http://schemas.microsoft.com/office/2006/metadata/properties" xmlns:ns2="4749da7a-c0f5-45c5-92ca-b13f6f1578ce" xmlns:ns3="82ebc350-a874-4358-aa0a-a3145ce44328" targetNamespace="http://schemas.microsoft.com/office/2006/metadata/properties" ma:root="true" ma:fieldsID="41152c70a4e6154aab5986cd8b1e90ef" ns2:_="" ns3:_="">
    <xsd:import namespace="4749da7a-c0f5-45c5-92ca-b13f6f1578ce"/>
    <xsd:import namespace="82ebc350-a874-4358-aa0a-a3145ce443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da7a-c0f5-45c5-92ca-b13f6f157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350-a874-4358-aa0a-a3145ce4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3D81-8F10-49F5-9009-4A1B96B90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da7a-c0f5-45c5-92ca-b13f6f1578ce"/>
    <ds:schemaRef ds:uri="82ebc350-a874-4358-aa0a-a3145ce4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2F34F-825D-49F1-90D3-1A81A3B58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9F88F-1070-4F5B-AE2A-FF4C37883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4B99A-9A4B-4097-B869-E150D414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Berséba</dc:creator>
  <cp:keywords/>
  <dc:description/>
  <cp:lastModifiedBy>Leonard Van Leeuwen</cp:lastModifiedBy>
  <cp:revision>2</cp:revision>
  <cp:lastPrinted>2018-03-27T09:48:00Z</cp:lastPrinted>
  <dcterms:created xsi:type="dcterms:W3CDTF">2018-05-17T18:30:00Z</dcterms:created>
  <dcterms:modified xsi:type="dcterms:W3CDTF">2018-05-17T18:30:00Z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0x0101003E2DC9FD82BA2042A969FAD7572107DD</vt:lpwstr>
  </property>
</Properties>
</file>